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FA" w:rsidRDefault="00A65FFA" w:rsidP="00A65FFA">
      <w:pPr>
        <w:numPr>
          <w:ilvl w:val="1"/>
          <w:numId w:val="0"/>
        </w:numPr>
        <w:tabs>
          <w:tab w:val="num" w:pos="0"/>
        </w:tabs>
        <w:spacing w:after="240"/>
        <w:ind w:hanging="10"/>
        <w:jc w:val="center"/>
        <w:rPr>
          <w:b/>
          <w:lang w:val="en-GB" w:eastAsia="en-US"/>
        </w:rPr>
      </w:pPr>
      <w:r>
        <w:rPr>
          <w:b/>
          <w:lang w:val="en-GB" w:eastAsia="en-US"/>
        </w:rPr>
        <w:t>CELBET 2</w:t>
      </w:r>
    </w:p>
    <w:p w:rsidR="00A65FFA" w:rsidRPr="00A65FFA" w:rsidRDefault="00A65FFA" w:rsidP="00A65FFA">
      <w:pPr>
        <w:numPr>
          <w:ilvl w:val="1"/>
          <w:numId w:val="0"/>
        </w:numPr>
        <w:tabs>
          <w:tab w:val="num" w:pos="0"/>
        </w:tabs>
        <w:spacing w:after="240"/>
        <w:ind w:hanging="10"/>
        <w:jc w:val="center"/>
        <w:rPr>
          <w:b/>
          <w:lang w:val="en-GB" w:eastAsia="en-US"/>
        </w:rPr>
      </w:pPr>
      <w:bookmarkStart w:id="0" w:name="_GoBack"/>
      <w:r w:rsidRPr="00A65FFA">
        <w:rPr>
          <w:b/>
          <w:lang w:val="en-GB" w:eastAsia="en-US"/>
        </w:rPr>
        <w:t>Scope and business objectives</w:t>
      </w:r>
    </w:p>
    <w:bookmarkEnd w:id="0"/>
    <w:p w:rsidR="00A65FFA" w:rsidRPr="00A65FFA" w:rsidRDefault="00A65FFA" w:rsidP="00A65FFA">
      <w:pPr>
        <w:spacing w:line="240" w:lineRule="atLeast"/>
        <w:jc w:val="both"/>
        <w:rPr>
          <w:rFonts w:eastAsia="SimSun"/>
          <w:iCs/>
          <w:sz w:val="22"/>
          <w:szCs w:val="22"/>
          <w:u w:val="single"/>
          <w:lang w:val="en-GB" w:eastAsia="zh-CN"/>
        </w:rPr>
      </w:pPr>
      <w:r w:rsidRPr="00A65FFA">
        <w:rPr>
          <w:rFonts w:eastAsia="SimSun"/>
          <w:iCs/>
          <w:sz w:val="22"/>
          <w:szCs w:val="22"/>
          <w:u w:val="single"/>
          <w:lang w:val="en-GB" w:eastAsia="zh-CN"/>
        </w:rPr>
        <w:t>As described in CELBET 2 Business case the project will be based on three main objectives:</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1)     Continuation of activities that have been successful in CELBET 1; </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2)    </w:t>
      </w:r>
      <w:proofErr w:type="gramStart"/>
      <w:r w:rsidRPr="00A65FFA">
        <w:rPr>
          <w:rFonts w:eastAsia="SimSun"/>
          <w:iCs/>
          <w:sz w:val="22"/>
          <w:szCs w:val="22"/>
          <w:lang w:val="en-GB" w:eastAsia="zh-CN"/>
        </w:rPr>
        <w:t>Focus</w:t>
      </w:r>
      <w:proofErr w:type="gramEnd"/>
      <w:r w:rsidRPr="00A65FFA">
        <w:rPr>
          <w:rFonts w:eastAsia="SimSun"/>
          <w:iCs/>
          <w:sz w:val="22"/>
          <w:szCs w:val="22"/>
          <w:lang w:val="en-GB" w:eastAsia="zh-CN"/>
        </w:rPr>
        <w:t xml:space="preserve"> on the management practices of the BCPs to share the proven/established good practises of participating Member States; </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3)     Creation of networks composed of representatives from BCP management level, people from BCPs responsible for organising everyday work at BCPs and national experts. </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Networking will be the key issue in CELBET 2. Involving the people responsible for the everyday management of the BCPs will establish a direct line from the project activities to the “field” enhancing thus co-operation and coordination between the BCPs of CELBET Member States and also with border guard /border police within participating Member States. </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                                                                                                                                                                                                                                                                                                                        All the activities as described in the work packages (WP) are focused to improve the operational efficiency and capacity of customs at the EU Eastern and South-Eastern land border BCPs under the legal framework covered in the section “Legal and policy framework for the project”. National activities are not covered by the project. </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The main objective of the </w:t>
      </w:r>
      <w:r w:rsidRPr="00A65FFA">
        <w:rPr>
          <w:rFonts w:eastAsia="SimSun"/>
          <w:iCs/>
          <w:sz w:val="22"/>
          <w:szCs w:val="22"/>
          <w:u w:val="single"/>
          <w:lang w:val="en-GB" w:eastAsia="zh-CN"/>
        </w:rPr>
        <w:t>BCP Management and Evaluation Team (WP1)</w:t>
      </w:r>
      <w:r w:rsidRPr="00A65FFA">
        <w:rPr>
          <w:rFonts w:eastAsia="SimSun"/>
          <w:iCs/>
          <w:sz w:val="22"/>
          <w:szCs w:val="22"/>
          <w:lang w:val="en-GB" w:eastAsia="zh-CN"/>
        </w:rPr>
        <w:t xml:space="preserve"> is to establish and implement in cooperation with other teams an evaluation approach based on Key Performance Indicators and evaluation methodology, including producing comparative analysis.</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The BCP Management and Evaluation team in close collaboration with Operational Controls and Risk Management teams will explore the possibility to integrate the results of the JIAs, results of the measurement of the border crossing time and results of the monitoring checks (random controls in CELBET 1) into one comparative analysis. The team will share this information with BCP Network in order to contribute to better decision making in CELBET MS. Based on the CELBET 1 experience and recommendations the team will improve the methodology for assessment of the capacity of the BCP</w:t>
      </w:r>
      <w:r w:rsidRPr="00A65FFA">
        <w:rPr>
          <w:rFonts w:eastAsia="SimSun"/>
          <w:bCs/>
          <w:iCs/>
          <w:sz w:val="22"/>
          <w:szCs w:val="22"/>
          <w:lang w:val="en-GB" w:eastAsia="zh-CN"/>
        </w:rPr>
        <w:t>.  Comparative analysis and evaluation exercises</w:t>
      </w:r>
      <w:r w:rsidRPr="00A65FFA">
        <w:rPr>
          <w:rFonts w:eastAsia="SimSun"/>
          <w:iCs/>
          <w:sz w:val="22"/>
          <w:szCs w:val="22"/>
          <w:lang w:val="en-GB" w:eastAsia="zh-CN"/>
        </w:rPr>
        <w:t xml:space="preserve"> should give more information on the performance of the BCP for the BCP management level.</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The evaluation activities of this team are performed in appropriate interaction with the Customs Union Performance Project Group (CUP PG) and CUP Network.</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u w:val="single"/>
          <w:lang w:val="en-GB" w:eastAsia="zh-CN"/>
        </w:rPr>
        <w:t>The Risk Management team (WP2)</w:t>
      </w:r>
      <w:r w:rsidRPr="00A65FFA">
        <w:rPr>
          <w:rFonts w:eastAsia="SimSun"/>
          <w:iCs/>
          <w:sz w:val="22"/>
          <w:szCs w:val="22"/>
          <w:lang w:val="en-GB" w:eastAsia="zh-CN"/>
        </w:rPr>
        <w:t xml:space="preserve"> will continue to improve the effectiveness and efficiency in selection for customs control while facilitating legitimate trade. The EU strategy and action plan for customs risk management provides a comprehensive agenda for strengthening customs risk management across seven objective areas, with implementation being guided by a detailed Road Map. The work of Risk Management team aims to support developments in this context in road and rail modes of transport. The risk management element of CELBET 2 will continue to contribute to the improvement of CRMF implementation from the common perspective, exploiting existing structures, processes and competences and building on the outcomes from CELBET 1. The work of this team supports also the National Risk Analysis Centres (NRAC) of CELBET countries by providing risk related data, promoting common approach towards identified risks and aiming at improved communication.</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The team will collaborate closely with DG TAXUD as appropriate in the CRMF context.  This will be agreed in a practical way between the Risk Management team leader and TAXUD Unit A3 on a task-by-task basis.</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u w:val="single"/>
          <w:lang w:val="en-GB" w:eastAsia="zh-CN"/>
        </w:rPr>
        <w:t>The Operational Controls team (WP3)</w:t>
      </w:r>
      <w:r w:rsidRPr="00A65FFA">
        <w:rPr>
          <w:rFonts w:eastAsia="SimSun"/>
          <w:iCs/>
          <w:sz w:val="22"/>
          <w:szCs w:val="22"/>
          <w:lang w:val="en-GB" w:eastAsia="zh-CN"/>
        </w:rPr>
        <w:t xml:space="preserve"> will continue to work in accordance with the applicable Customs Union legislation for customs controls within the scope of CELBET actions and exploit the data collected and analysis produced during CELBET 1 and by LFCG. Aiming towards CELBET MS “working as one” customs administration, Operational Controls Team will plan JIAs - </w:t>
      </w:r>
      <w:r w:rsidRPr="00A65FFA">
        <w:rPr>
          <w:rFonts w:eastAsia="SimSun"/>
          <w:i/>
          <w:iCs/>
          <w:sz w:val="22"/>
          <w:szCs w:val="22"/>
          <w:lang w:val="en-GB" w:eastAsia="zh-CN"/>
        </w:rPr>
        <w:t>joint intensified activities</w:t>
      </w:r>
      <w:r w:rsidRPr="00A65FFA">
        <w:rPr>
          <w:rFonts w:eastAsia="SimSun"/>
          <w:iCs/>
          <w:sz w:val="22"/>
          <w:szCs w:val="22"/>
          <w:lang w:val="en-GB" w:eastAsia="zh-CN"/>
        </w:rPr>
        <w:t xml:space="preserve"> and organize </w:t>
      </w:r>
      <w:r w:rsidRPr="00A65FFA">
        <w:rPr>
          <w:rFonts w:eastAsia="SimSun"/>
          <w:iCs/>
          <w:sz w:val="22"/>
          <w:szCs w:val="22"/>
          <w:lang w:val="en-GB" w:eastAsia="zh-CN"/>
        </w:rPr>
        <w:lastRenderedPageBreak/>
        <w:t>monitoring checks at selected road and rail BCP, commercial and passenger traffic. While planning JIAs and monitoring checks the team will take into consideration different aspects such as: border strip, volume of traffic, type of the vehicle, type of the customs controls considering the available equipment and duration of the customs controls, etc. The team will produce useful operational information for decision makers in the MSs and input for the Commission to evaluate the situation at the EU Eastern and South-Eastern land border.</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In line with CRMF evaluation cycle and article 46 UCC, the results of JIA and monitoring checks will be delivered to Risk Management Team. The tasks of this team will be performed closely together with DG TAXUD.</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 </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 xml:space="preserve">The objective of the </w:t>
      </w:r>
      <w:r w:rsidRPr="00A65FFA">
        <w:rPr>
          <w:rFonts w:eastAsia="SimSun"/>
          <w:iCs/>
          <w:sz w:val="22"/>
          <w:szCs w:val="22"/>
          <w:u w:val="single"/>
          <w:lang w:val="en-GB" w:eastAsia="zh-CN"/>
        </w:rPr>
        <w:t>Equipment team (WP4)</w:t>
      </w:r>
      <w:r w:rsidRPr="00A65FFA">
        <w:rPr>
          <w:rFonts w:eastAsia="SimSun"/>
          <w:iCs/>
          <w:sz w:val="22"/>
          <w:szCs w:val="22"/>
          <w:lang w:val="en-GB" w:eastAsia="zh-CN"/>
        </w:rPr>
        <w:t xml:space="preserve"> is to work towards ensuring that the BCPs operating at the EU Eastern and South-Eastern land border would be equipped with tailored set of  technical appliances taking into account the risks and threats at the Eastern and South-Eastern land border. The work package will organise the exchange of best practices and advices for coordinated maintenance and use of customs control and detection equipment. The team will make an update and a comparison exercise for inventory of available and practically deployed equipment which were produced during the first phase of CELBET taking also into account the results of LFCG Mapping Subgroup. The team will also explore and analyse the perspectives and possibilities for sharing or common use and/or procurement of equipment between customs and border guard/border police and also between Member States by carrying out a pilot exercise together with other CELBET teams and BCP Network during a JIA. The team will also advise and assist Member States in preparing technical specification of procurements on various items of customs detection technology and give advice on the available funds and application requirements. A concept for creation of CELBET Automated Number Plate Recognition System (ANPRS) will be produced and a platform for CELBET X-ray/NII equipment seizure and modus operandi information exchange will be suggested. </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The team will use available and relevant information from documents of Land Frontier Contact Group Mapping Subgroup and Customs Detection Technology Project Group. The team will work closely together with DG TAXUD.  </w:t>
      </w:r>
    </w:p>
    <w:p w:rsidR="00A65FFA" w:rsidRPr="00A65FFA" w:rsidRDefault="00A65FFA" w:rsidP="00A65FFA">
      <w:pPr>
        <w:spacing w:line="240" w:lineRule="atLeast"/>
        <w:jc w:val="both"/>
        <w:rPr>
          <w:rFonts w:eastAsia="SimSun"/>
          <w:iCs/>
          <w:sz w:val="22"/>
          <w:szCs w:val="22"/>
          <w:lang w:val="et-EE"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u w:val="single"/>
          <w:lang w:val="en-GB" w:eastAsia="zh-CN"/>
        </w:rPr>
        <w:t>The Training team (WP5)</w:t>
      </w:r>
      <w:r w:rsidRPr="00A65FFA">
        <w:rPr>
          <w:rFonts w:eastAsia="SimSun"/>
          <w:iCs/>
          <w:sz w:val="22"/>
          <w:szCs w:val="22"/>
          <w:lang w:val="en-GB" w:eastAsia="zh-CN"/>
        </w:rPr>
        <w:t xml:space="preserve"> activities will support the overall business objective of CELBET 2, like usage of detection technology or inter-agency cooperation as well as contribute to the efficient customs control performance. The objective of the work package is to develop common training system for EU Eastern and South-Eastern land border customs officers with the aim to ensure harmonised level of knowledge and skills necessary to perform effectively. The work package is based on the outcomes and experience gained from CELBET 1 and the activities that have been successful will be continued. Moreover, it will focus on pooling best practices and innovative solutions by identifying regional centres of expertise. In order to ensure a stronger involvement of the managers, trainings on BCP management and leadership as well as two specialised trainings to meet most urgent training needs and future priorities will be organised. </w:t>
      </w:r>
    </w:p>
    <w:p w:rsidR="00A65FFA" w:rsidRPr="00A65FFA" w:rsidRDefault="00A65FFA" w:rsidP="00A65FFA">
      <w:pPr>
        <w:spacing w:line="240" w:lineRule="atLeast"/>
        <w:jc w:val="both"/>
        <w:rPr>
          <w:rFonts w:eastAsia="SimSun"/>
          <w:iCs/>
          <w:sz w:val="22"/>
          <w:szCs w:val="22"/>
          <w:lang w:val="en-GB" w:eastAsia="zh-CN"/>
        </w:rPr>
      </w:pP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lang w:val="en-GB" w:eastAsia="zh-CN"/>
        </w:rPr>
        <w:t>The team will collaborate with Training Support Group and will use the EU Training Reference Programmes on the EU Leadership and Management as the basis with a view to setting up similar competencies for BCP managers.</w:t>
      </w:r>
    </w:p>
    <w:p w:rsidR="00A65FFA" w:rsidRPr="00A65FFA" w:rsidRDefault="00A65FFA" w:rsidP="00A65FFA">
      <w:pPr>
        <w:spacing w:after="240"/>
        <w:jc w:val="both"/>
        <w:rPr>
          <w:b/>
          <w:sz w:val="22"/>
          <w:szCs w:val="22"/>
          <w:u w:val="single"/>
          <w:lang w:val="en-GB" w:eastAsia="en-US"/>
        </w:rPr>
      </w:pPr>
    </w:p>
    <w:p w:rsidR="00A65FFA" w:rsidRPr="00A65FFA" w:rsidRDefault="00A65FFA" w:rsidP="00A65FFA">
      <w:pPr>
        <w:spacing w:after="240"/>
        <w:jc w:val="both"/>
        <w:rPr>
          <w:sz w:val="22"/>
          <w:szCs w:val="22"/>
          <w:lang w:val="en-GB" w:eastAsia="en-US"/>
        </w:rPr>
      </w:pPr>
      <w:r w:rsidRPr="00A65FFA">
        <w:rPr>
          <w:sz w:val="22"/>
          <w:szCs w:val="22"/>
          <w:lang w:val="en-GB" w:eastAsia="en-US"/>
        </w:rPr>
        <w:t xml:space="preserve">The main objective of the </w:t>
      </w:r>
      <w:r w:rsidRPr="00A65FFA">
        <w:rPr>
          <w:sz w:val="22"/>
          <w:szCs w:val="22"/>
          <w:u w:val="single"/>
          <w:lang w:val="en-GB" w:eastAsia="en-US"/>
        </w:rPr>
        <w:t>Inter-agency and 3rd Country Co-operation team (WP6)</w:t>
      </w:r>
      <w:r w:rsidRPr="00A65FFA">
        <w:rPr>
          <w:sz w:val="22"/>
          <w:szCs w:val="22"/>
          <w:lang w:val="en-GB" w:eastAsia="en-US"/>
        </w:rPr>
        <w:t xml:space="preserve"> is to ensure both effective cooperation and coordination between customs administrations (CA) and border guard/border police (BG) and with neighbouring third countries services operating at the BCPs of the EU Eastern and South-Eastern land border. </w:t>
      </w:r>
    </w:p>
    <w:p w:rsidR="00A65FFA" w:rsidRPr="00A65FFA" w:rsidRDefault="00A65FFA" w:rsidP="00A65FFA">
      <w:pPr>
        <w:spacing w:after="240"/>
        <w:jc w:val="both"/>
        <w:rPr>
          <w:sz w:val="22"/>
          <w:szCs w:val="22"/>
          <w:lang w:val="en-GB" w:eastAsia="en-US"/>
        </w:rPr>
      </w:pPr>
      <w:r w:rsidRPr="00A65FFA">
        <w:rPr>
          <w:sz w:val="22"/>
          <w:szCs w:val="22"/>
          <w:lang w:val="en-GB" w:eastAsia="en-US"/>
        </w:rPr>
        <w:t xml:space="preserve">Based on the recommendations delivered during CELBET 1 the team will develop and pilot the Customs Administrations (CA) and Border Guard (BG) shifts management procedure in a form of easy to use and follow check-list for shift leaders. In continuation of the results achieved during CELBET 1, e.g. on the information exchange between CA and BG during the shifts the team will explore and implement joint management procedures for the emergency situations at the BCPs (standard contingency procedure). Following the outcomes of CELBET 1 the team will continue analysis and development of the shared BCPs </w:t>
      </w:r>
      <w:r w:rsidRPr="00A65FFA">
        <w:rPr>
          <w:sz w:val="22"/>
          <w:szCs w:val="22"/>
          <w:lang w:val="en-GB" w:eastAsia="en-US"/>
        </w:rPr>
        <w:lastRenderedPageBreak/>
        <w:t xml:space="preserve">solution and synchronised checks in cooperation with the BCP Network. The team will support enhancement of border strips cooperation by unifying approaches of the CELBET Member States to the same neighbouring 3rd country.  </w:t>
      </w:r>
    </w:p>
    <w:p w:rsidR="00A65FFA" w:rsidRPr="00A65FFA" w:rsidRDefault="00A65FFA" w:rsidP="00A65FFA">
      <w:pPr>
        <w:spacing w:line="240" w:lineRule="atLeast"/>
        <w:jc w:val="both"/>
        <w:rPr>
          <w:rFonts w:eastAsia="SimSun"/>
          <w:iCs/>
          <w:sz w:val="22"/>
          <w:szCs w:val="22"/>
          <w:lang w:val="en-GB" w:eastAsia="zh-CN"/>
        </w:rPr>
      </w:pPr>
      <w:r w:rsidRPr="00A65FFA">
        <w:rPr>
          <w:rFonts w:eastAsia="SimSun"/>
          <w:iCs/>
          <w:sz w:val="22"/>
          <w:szCs w:val="22"/>
          <w:u w:val="single"/>
          <w:lang w:val="en-GB" w:eastAsia="zh-CN"/>
        </w:rPr>
        <w:t>The duty of BCP Network (WP7)</w:t>
      </w:r>
      <w:r w:rsidRPr="00A65FFA">
        <w:rPr>
          <w:rFonts w:eastAsia="SimSun"/>
          <w:iCs/>
          <w:sz w:val="22"/>
          <w:szCs w:val="22"/>
          <w:lang w:val="en-GB" w:eastAsia="zh-CN"/>
        </w:rPr>
        <w:t xml:space="preserve"> is to spread CELBET recommendations, perform and implement CELBET tasks and outcomes, evaluate the BCPs performance, give feedback to the teams from the ground and act as a mediator to the senior management of the participating Member States. The tasks of the BCP Network, amongst others, involve communication and coordination on different levels in Member State’s national administration, cascading/disseminating all information relevant for implementation of CELBET tasks and for achieving tangible results, giving feedback on feasibility of CELBET activities. The meetings of BCP Network will be organised preferably in a BCP.</w:t>
      </w:r>
    </w:p>
    <w:p w:rsidR="000034FB" w:rsidRPr="00A65FFA" w:rsidRDefault="000034FB">
      <w:pPr>
        <w:rPr>
          <w:lang w:val="en-GB"/>
        </w:rPr>
      </w:pPr>
    </w:p>
    <w:sectPr w:rsidR="000034FB" w:rsidRPr="00A65FFA" w:rsidSect="00A65FFA">
      <w:pgSz w:w="11906" w:h="16838"/>
      <w:pgMar w:top="1701"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FA"/>
    <w:rsid w:val="000034FB"/>
    <w:rsid w:val="003D5E6D"/>
    <w:rsid w:val="00A65FFA"/>
    <w:rsid w:val="00AD67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6103</Words>
  <Characters>3480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Kosaitė</dc:creator>
  <cp:lastModifiedBy>Justina Kosaitė</cp:lastModifiedBy>
  <cp:revision>1</cp:revision>
  <dcterms:created xsi:type="dcterms:W3CDTF">2018-05-15T13:38:00Z</dcterms:created>
  <dcterms:modified xsi:type="dcterms:W3CDTF">2018-05-15T13:40:00Z</dcterms:modified>
</cp:coreProperties>
</file>