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41" w:rsidRDefault="00FB44FD" w:rsidP="00A81472">
      <w:pPr>
        <w:jc w:val="center"/>
        <w:rPr>
          <w:b/>
          <w:bCs/>
        </w:rPr>
      </w:pPr>
      <w:r w:rsidRPr="00A81472">
        <w:rPr>
          <w:b/>
          <w:bCs/>
        </w:rPr>
        <w:t>MUIT</w:t>
      </w:r>
      <w:r>
        <w:rPr>
          <w:b/>
          <w:bCs/>
        </w:rPr>
        <w:t>Ų</w:t>
      </w:r>
      <w:r w:rsidRPr="00A81472">
        <w:rPr>
          <w:b/>
          <w:bCs/>
        </w:rPr>
        <w:t xml:space="preserve"> </w:t>
      </w:r>
      <w:r w:rsidR="00933CF8" w:rsidRPr="00A81472">
        <w:rPr>
          <w:b/>
          <w:bCs/>
        </w:rPr>
        <w:t>DELS</w:t>
      </w:r>
      <w:r>
        <w:rPr>
          <w:b/>
          <w:bCs/>
        </w:rPr>
        <w:t>P</w:t>
      </w:r>
      <w:r w:rsidR="00933CF8" w:rsidRPr="00A81472">
        <w:rPr>
          <w:b/>
          <w:bCs/>
        </w:rPr>
        <w:t>INIGIAI</w:t>
      </w:r>
      <w:r>
        <w:rPr>
          <w:b/>
          <w:bCs/>
        </w:rPr>
        <w:t xml:space="preserve"> IR </w:t>
      </w:r>
    </w:p>
    <w:p w:rsidR="00933CF8" w:rsidRPr="00A81472" w:rsidRDefault="00FB44FD" w:rsidP="00A81472">
      <w:pPr>
        <w:jc w:val="center"/>
        <w:rPr>
          <w:b/>
          <w:bCs/>
        </w:rPr>
      </w:pPr>
      <w:r>
        <w:rPr>
          <w:b/>
          <w:bCs/>
        </w:rPr>
        <w:t>PALŪKANOS UŽ ATIDĖTĄ ARBA IŠDĖSTYTĄ MUITŲ MOKĖJIMĄ</w:t>
      </w:r>
    </w:p>
    <w:p w:rsidR="00933CF8" w:rsidRPr="00933CF8" w:rsidRDefault="00933CF8" w:rsidP="00933CF8">
      <w:pPr>
        <w:jc w:val="both"/>
        <w:rPr>
          <w:bCs/>
        </w:rPr>
      </w:pPr>
    </w:p>
    <w:p w:rsidR="00933CF8" w:rsidRPr="00933CF8" w:rsidRDefault="00933CF8" w:rsidP="0000765F">
      <w:pPr>
        <w:jc w:val="both"/>
        <w:rPr>
          <w:bCs/>
        </w:rPr>
      </w:pPr>
    </w:p>
    <w:p w:rsidR="00FB44FD" w:rsidRPr="003F7100" w:rsidRDefault="00933CF8" w:rsidP="00E41841">
      <w:pPr>
        <w:ind w:firstLine="720"/>
        <w:jc w:val="both"/>
        <w:rPr>
          <w:noProof/>
        </w:rPr>
      </w:pPr>
      <w:r w:rsidRPr="00933CF8">
        <w:rPr>
          <w:bCs/>
        </w:rPr>
        <w:t xml:space="preserve"> </w:t>
      </w:r>
      <w:r w:rsidRPr="003F7100">
        <w:rPr>
          <w:bCs/>
        </w:rPr>
        <w:t>Nuo 2016</w:t>
      </w:r>
      <w:r w:rsidR="00775B12">
        <w:rPr>
          <w:bCs/>
        </w:rPr>
        <w:t xml:space="preserve"> m. gegužės 1 d.</w:t>
      </w:r>
      <w:r w:rsidRPr="003F7100">
        <w:rPr>
          <w:bCs/>
        </w:rPr>
        <w:t xml:space="preserve"> </w:t>
      </w:r>
      <w:r w:rsidR="00424E56" w:rsidRPr="003F7100">
        <w:rPr>
          <w:bCs/>
        </w:rPr>
        <w:t xml:space="preserve">pradėjus taikyti </w:t>
      </w:r>
      <w:r w:rsidRPr="003F7100">
        <w:rPr>
          <w:bCs/>
        </w:rPr>
        <w:t>Sąjungos muitinės kodeks</w:t>
      </w:r>
      <w:r w:rsidR="00424E56" w:rsidRPr="003F7100">
        <w:rPr>
          <w:bCs/>
        </w:rPr>
        <w:t>ą</w:t>
      </w:r>
      <w:r w:rsidR="005B4422" w:rsidRPr="003F7100">
        <w:rPr>
          <w:bCs/>
        </w:rPr>
        <w:t xml:space="preserve"> (toliau</w:t>
      </w:r>
      <w:r w:rsidR="004E2261">
        <w:rPr>
          <w:bCs/>
        </w:rPr>
        <w:t xml:space="preserve"> – </w:t>
      </w:r>
      <w:r w:rsidR="005B4422" w:rsidRPr="003F7100">
        <w:rPr>
          <w:bCs/>
        </w:rPr>
        <w:t>SMK)</w:t>
      </w:r>
      <w:r w:rsidRPr="003F7100">
        <w:rPr>
          <w:bCs/>
        </w:rPr>
        <w:t xml:space="preserve"> (</w:t>
      </w:r>
      <w:r w:rsidRPr="003F7100">
        <w:rPr>
          <w:noProof/>
        </w:rPr>
        <w:t>2013 m. spalio 9 d. Europos Parlamento ir Tarybos reglamentas   (ES) Nr. 952/2013 (OL 2013 L 269, p. 1)</w:t>
      </w:r>
      <w:r w:rsidR="00424E56" w:rsidRPr="003F7100">
        <w:rPr>
          <w:noProof/>
        </w:rPr>
        <w:t xml:space="preserve"> </w:t>
      </w:r>
      <w:r w:rsidR="002D1FBE" w:rsidRPr="007171B2">
        <w:rPr>
          <w:noProof/>
          <w:u w:val="single"/>
        </w:rPr>
        <w:t>keičiasi delspinigių ir palūkanų normos</w:t>
      </w:r>
      <w:r w:rsidR="002D1FBE" w:rsidRPr="003F7100">
        <w:rPr>
          <w:noProof/>
        </w:rPr>
        <w:t xml:space="preserve">, taikomos muitų pavėluoto sumokėjimo ar mokėjimo atidėjimo/išdėstymo atvejais ir </w:t>
      </w:r>
      <w:r w:rsidR="002D1FBE" w:rsidRPr="007171B2">
        <w:rPr>
          <w:u w:val="single"/>
        </w:rPr>
        <w:t>delspinigių už pavėluotą muitų sumokėjimą skaičiavimo trukmė</w:t>
      </w:r>
      <w:r w:rsidR="00905658" w:rsidRPr="00905658">
        <w:rPr>
          <w:u w:val="single"/>
        </w:rPr>
        <w:t xml:space="preserve"> </w:t>
      </w:r>
      <w:r w:rsidR="00905658" w:rsidRPr="004E2261">
        <w:rPr>
          <w:u w:val="single"/>
        </w:rPr>
        <w:t>tais atvejais, kai skola muitinei atsiranda pagal SMK 79 ar 82 straipsnį arba jeigu apie skolą muitinei pranešama atlikus tikrinimą po prekių išleidimo</w:t>
      </w:r>
      <w:r w:rsidR="002D1FBE" w:rsidRPr="003F7100">
        <w:t>.</w:t>
      </w:r>
      <w:r w:rsidR="00775B12">
        <w:t xml:space="preserve"> Delspinigių ir palūkanų už importo pridėtinės vertės mokestį ir importo akcizus administravimas nesikeičia, t. y. taikomos </w:t>
      </w:r>
      <w:r w:rsidR="000460CE">
        <w:t>Lietuvos Respublikos Mokesčių administravimo įstatymo nuostatos ir f</w:t>
      </w:r>
      <w:r w:rsidR="00775B12">
        <w:t>inansų ministro nustatytos normos</w:t>
      </w:r>
      <w:r w:rsidR="000460CE">
        <w:t>.</w:t>
      </w:r>
      <w:r w:rsidR="00775B12">
        <w:t xml:space="preserve"> </w:t>
      </w:r>
      <w:r w:rsidR="000A0126" w:rsidRPr="004E2261">
        <w:rPr>
          <w:bCs/>
          <w:u w:val="single"/>
        </w:rPr>
        <w:t>Nuo 2016 m. gegužės 1 d. m</w:t>
      </w:r>
      <w:r w:rsidR="00424E56" w:rsidRPr="004E2261">
        <w:rPr>
          <w:noProof/>
          <w:u w:val="single"/>
        </w:rPr>
        <w:t>uitams taikoma delspinigių ir palūkanų norma, nustatyta SMK 112 ir 114 straipsniuose</w:t>
      </w:r>
      <w:r w:rsidR="002D1FBE" w:rsidRPr="003F7100">
        <w:rPr>
          <w:noProof/>
        </w:rPr>
        <w:t>:</w:t>
      </w:r>
    </w:p>
    <w:p w:rsidR="000460CE" w:rsidRDefault="000460CE" w:rsidP="000460CE">
      <w:pPr>
        <w:ind w:firstLine="720"/>
        <w:jc w:val="both"/>
      </w:pPr>
      <w:r w:rsidRPr="00585D16">
        <w:t>1.</w:t>
      </w:r>
      <w:r>
        <w:rPr>
          <w:u w:val="single"/>
        </w:rPr>
        <w:t xml:space="preserve"> </w:t>
      </w:r>
      <w:r w:rsidRPr="004E2261">
        <w:rPr>
          <w:u w:val="single"/>
        </w:rPr>
        <w:t>palūkanų norma</w:t>
      </w:r>
      <w:r w:rsidRPr="003F7100">
        <w:t xml:space="preserve"> lygi Europos Sąjungos oficialiojo leidinio C serijoje paskelbtai palūkanų normai, kurią paskutinės mokėjimo dienos mėnesio pirmą dieną Europos Centrinis bankas taikė savo pagrindinėms refinansavimo operacijoms, padidintai vienu procentiniu punktu. </w:t>
      </w:r>
    </w:p>
    <w:p w:rsidR="000460CE" w:rsidRDefault="000460CE" w:rsidP="000460CE">
      <w:pPr>
        <w:ind w:firstLine="720"/>
        <w:jc w:val="both"/>
      </w:pPr>
      <w:r>
        <w:t xml:space="preserve">Pvz. 2016 m. </w:t>
      </w:r>
      <w:r w:rsidRPr="003F7100">
        <w:t>gegužės 16 d., Europos Centrinio Banko nustatyta palūkanų norma gegužės</w:t>
      </w:r>
      <w:r>
        <w:t xml:space="preserve">    </w:t>
      </w:r>
      <w:r w:rsidRPr="003F7100">
        <w:t xml:space="preserve"> 1 d. </w:t>
      </w:r>
      <w:r>
        <w:t>yra</w:t>
      </w:r>
      <w:r w:rsidRPr="003F7100">
        <w:t xml:space="preserve"> 0,0</w:t>
      </w:r>
      <w:r>
        <w:t>0</w:t>
      </w:r>
      <w:r w:rsidRPr="003F7100">
        <w:t xml:space="preserve"> %, ją padidinus </w:t>
      </w:r>
      <w:r>
        <w:t>vienu</w:t>
      </w:r>
      <w:r w:rsidRPr="003F7100">
        <w:t xml:space="preserve"> </w:t>
      </w:r>
      <w:r w:rsidRPr="000460CE">
        <w:t>procentini</w:t>
      </w:r>
      <w:r>
        <w:t xml:space="preserve">u </w:t>
      </w:r>
      <w:r w:rsidRPr="003F7100">
        <w:t>punkt</w:t>
      </w:r>
      <w:r>
        <w:t>u</w:t>
      </w:r>
      <w:r w:rsidRPr="003F7100">
        <w:t xml:space="preserve"> gaunama </w:t>
      </w:r>
      <w:r>
        <w:t xml:space="preserve"> 1</w:t>
      </w:r>
      <w:r w:rsidRPr="003F7100">
        <w:t>,0</w:t>
      </w:r>
      <w:r>
        <w:t>0</w:t>
      </w:r>
      <w:r w:rsidRPr="003F7100">
        <w:t xml:space="preserve"> % metinė </w:t>
      </w:r>
      <w:r>
        <w:t>palūkanų</w:t>
      </w:r>
      <w:r w:rsidRPr="003F7100">
        <w:t xml:space="preserve"> norma</w:t>
      </w:r>
      <w:r>
        <w:t>.</w:t>
      </w:r>
    </w:p>
    <w:p w:rsidR="000460CE" w:rsidRDefault="000460CE" w:rsidP="000460CE">
      <w:pPr>
        <w:ind w:firstLine="720"/>
        <w:jc w:val="both"/>
      </w:pPr>
      <w:r w:rsidRPr="003F7100">
        <w:t>SMK 112 str.</w:t>
      </w:r>
      <w:r>
        <w:t xml:space="preserve"> nurodyta</w:t>
      </w:r>
      <w:r w:rsidRPr="003F7100">
        <w:t xml:space="preserve"> „paskutinė mokėjimo d</w:t>
      </w:r>
      <w:r>
        <w:t>iena</w:t>
      </w:r>
      <w:r w:rsidRPr="003F7100">
        <w:t xml:space="preserve">“ yra </w:t>
      </w:r>
      <w:r>
        <w:t>diena</w:t>
      </w:r>
      <w:r w:rsidRPr="003F7100">
        <w:t>,</w:t>
      </w:r>
      <w:r>
        <w:t xml:space="preserve"> iki </w:t>
      </w:r>
      <w:r w:rsidRPr="003F7100">
        <w:t>kuri</w:t>
      </w:r>
      <w:r>
        <w:t xml:space="preserve">os </w:t>
      </w:r>
      <w:r w:rsidRPr="003F7100">
        <w:t xml:space="preserve">reikėjo sumokėti mokesčius iki jų </w:t>
      </w:r>
      <w:r>
        <w:t xml:space="preserve">atidėjimo arba </w:t>
      </w:r>
      <w:r w:rsidRPr="003F7100">
        <w:t>išdėstymo. Jei mokesčiai</w:t>
      </w:r>
      <w:r>
        <w:t xml:space="preserve"> papildomai aps</w:t>
      </w:r>
      <w:r w:rsidRPr="003F7100">
        <w:t>kaičiuoti sprendimu už ankstesnį laikotarpį</w:t>
      </w:r>
      <w:r>
        <w:t>,</w:t>
      </w:r>
      <w:r w:rsidRPr="003F7100">
        <w:t xml:space="preserve"> „paskutinė mokėjimo d</w:t>
      </w:r>
      <w:r>
        <w:t>iena</w:t>
      </w:r>
      <w:r w:rsidRPr="003F7100">
        <w:t xml:space="preserve">“ yra </w:t>
      </w:r>
      <w:r>
        <w:t>diena, kada turėjo būti sumokėti</w:t>
      </w:r>
      <w:r w:rsidRPr="0069622C">
        <w:t xml:space="preserve"> </w:t>
      </w:r>
      <w:r>
        <w:t>po muitinio įforminimo apskaičiuoti mokesčiai</w:t>
      </w:r>
      <w:r w:rsidRPr="003F7100">
        <w:t xml:space="preserve">. Visą palūkanų skaičiavimo laikotarpį </w:t>
      </w:r>
      <w:r>
        <w:t>taikoma</w:t>
      </w:r>
      <w:r w:rsidRPr="003F7100">
        <w:t xml:space="preserve"> ta pati </w:t>
      </w:r>
      <w:r>
        <w:t xml:space="preserve">palūkanų </w:t>
      </w:r>
      <w:r w:rsidRPr="003F7100">
        <w:t>norma</w:t>
      </w:r>
      <w:r>
        <w:t>, kuri galiojo paskutinę mokėjimo dieną</w:t>
      </w:r>
      <w:r w:rsidRPr="003F7100">
        <w:t xml:space="preserve">. </w:t>
      </w:r>
    </w:p>
    <w:p w:rsidR="00E41841" w:rsidRPr="003F7100" w:rsidRDefault="000460CE" w:rsidP="00E41841">
      <w:pPr>
        <w:ind w:firstLine="720"/>
        <w:jc w:val="both"/>
      </w:pPr>
      <w:r>
        <w:rPr>
          <w:noProof/>
        </w:rPr>
        <w:t>2</w:t>
      </w:r>
      <w:r w:rsidR="00E41841" w:rsidRPr="003F7100">
        <w:rPr>
          <w:noProof/>
        </w:rPr>
        <w:t xml:space="preserve">. </w:t>
      </w:r>
      <w:r w:rsidR="00E41841" w:rsidRPr="004E2261">
        <w:rPr>
          <w:u w:val="single"/>
        </w:rPr>
        <w:t>delspinigių</w:t>
      </w:r>
      <w:r w:rsidR="002D1FBE" w:rsidRPr="004E2261">
        <w:rPr>
          <w:u w:val="single"/>
        </w:rPr>
        <w:t xml:space="preserve"> norma</w:t>
      </w:r>
      <w:r w:rsidR="002D1FBE" w:rsidRPr="003F7100">
        <w:t xml:space="preserve"> lygi Europos Sąjungos </w:t>
      </w:r>
      <w:r w:rsidR="00AB23DA" w:rsidRPr="003F7100">
        <w:t xml:space="preserve">oficialiojo leidinio C serijoje </w:t>
      </w:r>
      <w:r w:rsidR="002D1FBE" w:rsidRPr="003F7100">
        <w:t>paskelbtai palūkanų normai, kurią paskutinės mokėjimo dienos mėnesio pirmą dieną Europos Centrinis bankas taikė savo pagrindinėms refinansavimo operacijoms, padidintai dviem procentiniais punktais</w:t>
      </w:r>
      <w:r w:rsidR="00E41841" w:rsidRPr="003F7100">
        <w:t>.</w:t>
      </w:r>
    </w:p>
    <w:p w:rsidR="00E41841" w:rsidRPr="003F7100" w:rsidRDefault="002D1FBE" w:rsidP="00E41841">
      <w:pPr>
        <w:ind w:firstLine="720"/>
        <w:jc w:val="both"/>
      </w:pPr>
      <w:r w:rsidRPr="003F7100">
        <w:t>Pvz.</w:t>
      </w:r>
      <w:r w:rsidR="00AB23DA" w:rsidRPr="003F7100">
        <w:t>,</w:t>
      </w:r>
      <w:r w:rsidR="001A09D0">
        <w:t xml:space="preserve"> </w:t>
      </w:r>
      <w:r w:rsidR="003F7100" w:rsidRPr="003F7100">
        <w:t>muitų mokėjimo diena</w:t>
      </w:r>
      <w:r w:rsidR="00994ABF" w:rsidRPr="003F7100">
        <w:t xml:space="preserve"> </w:t>
      </w:r>
      <w:r w:rsidR="003F7100" w:rsidRPr="003F7100">
        <w:t xml:space="preserve">yra </w:t>
      </w:r>
      <w:r w:rsidR="00994ABF" w:rsidRPr="003F7100">
        <w:t xml:space="preserve">2016 m. gegužės 16 d., </w:t>
      </w:r>
      <w:r w:rsidRPr="003F7100">
        <w:t xml:space="preserve">Europos Centrinio Banko nustatyta palūkanų norma </w:t>
      </w:r>
      <w:r w:rsidR="00994ABF" w:rsidRPr="003F7100">
        <w:t xml:space="preserve">gegužės 1 d. </w:t>
      </w:r>
      <w:r w:rsidR="003F7100">
        <w:t>yra</w:t>
      </w:r>
      <w:r w:rsidR="00994ABF" w:rsidRPr="003F7100">
        <w:t xml:space="preserve"> </w:t>
      </w:r>
      <w:r w:rsidRPr="003F7100">
        <w:t>0,</w:t>
      </w:r>
      <w:r w:rsidR="00CA485B" w:rsidRPr="003F7100">
        <w:t>0</w:t>
      </w:r>
      <w:r w:rsidR="00CA485B">
        <w:t>0</w:t>
      </w:r>
      <w:r w:rsidR="00CA485B" w:rsidRPr="003F7100">
        <w:t xml:space="preserve"> </w:t>
      </w:r>
      <w:r w:rsidRPr="003F7100">
        <w:t xml:space="preserve">%, ją padidinus dviem procentiniais punktais </w:t>
      </w:r>
      <w:r w:rsidR="00AE4219" w:rsidRPr="003F7100">
        <w:t>gaunama</w:t>
      </w:r>
      <w:r w:rsidRPr="003F7100">
        <w:t xml:space="preserve"> </w:t>
      </w:r>
      <w:r w:rsidR="004E2261">
        <w:t xml:space="preserve">     </w:t>
      </w:r>
      <w:r w:rsidRPr="003F7100">
        <w:t>2,0</w:t>
      </w:r>
      <w:r w:rsidR="00CA485B">
        <w:t>0</w:t>
      </w:r>
      <w:r w:rsidRPr="003F7100">
        <w:t xml:space="preserve"> %</w:t>
      </w:r>
      <w:r w:rsidR="00AB23DA" w:rsidRPr="003F7100">
        <w:t xml:space="preserve"> </w:t>
      </w:r>
      <w:r w:rsidR="003E0E78" w:rsidRPr="003F7100">
        <w:t xml:space="preserve">metinė </w:t>
      </w:r>
      <w:r w:rsidRPr="003F7100">
        <w:t>delspinigių norma</w:t>
      </w:r>
      <w:r w:rsidR="00994ABF" w:rsidRPr="003F7100">
        <w:t>, kuri taikoma visam sumokėjimo vėlavimo laikotarpiui, nepriklausomai nuo normos kitimo.</w:t>
      </w:r>
    </w:p>
    <w:p w:rsidR="0069622C" w:rsidRPr="003F7100" w:rsidRDefault="0069622C" w:rsidP="0069622C">
      <w:pPr>
        <w:ind w:firstLine="720"/>
        <w:jc w:val="both"/>
      </w:pPr>
      <w:r w:rsidRPr="007171B2">
        <w:rPr>
          <w:b/>
        </w:rPr>
        <w:t xml:space="preserve">Delspinigių ir palūkanų metinės normos skelbiamos muitinės tinklapyje adresu </w:t>
      </w:r>
      <w:hyperlink r:id="rId7" w:history="1">
        <w:r w:rsidR="00775B12" w:rsidRPr="004E2261">
          <w:rPr>
            <w:rStyle w:val="Hyperlink"/>
            <w:b/>
            <w:u w:val="none"/>
          </w:rPr>
          <w:t>http://www.lrmuitine.lt/web/guest/795</w:t>
        </w:r>
      </w:hyperlink>
      <w:r w:rsidR="00775B12">
        <w:t>.</w:t>
      </w:r>
    </w:p>
    <w:p w:rsidR="003F7100" w:rsidRDefault="0069622C" w:rsidP="001355BF">
      <w:pPr>
        <w:ind w:firstLine="720"/>
        <w:jc w:val="both"/>
      </w:pPr>
      <w:r w:rsidRPr="003F7100">
        <w:t xml:space="preserve">Delspinigių </w:t>
      </w:r>
      <w:r>
        <w:t xml:space="preserve">arba palūkanų </w:t>
      </w:r>
      <w:r w:rsidRPr="003F7100">
        <w:t>norma dienai apskaičiuojama metinę normą padalinant iš einamųjų metų dienų skaičiaus (365 arba 366).</w:t>
      </w:r>
    </w:p>
    <w:p w:rsidR="004E2261" w:rsidRDefault="004E2261" w:rsidP="0069622C">
      <w:pPr>
        <w:ind w:firstLine="720"/>
        <w:jc w:val="both"/>
      </w:pPr>
    </w:p>
    <w:p w:rsidR="0069622C" w:rsidRDefault="0069622C" w:rsidP="0069622C">
      <w:pPr>
        <w:ind w:firstLine="720"/>
        <w:jc w:val="both"/>
      </w:pPr>
      <w:r w:rsidRPr="007171B2">
        <w:t xml:space="preserve">Atkreipiame dėmesį, kad </w:t>
      </w:r>
      <w:r w:rsidRPr="004E2261">
        <w:rPr>
          <w:u w:val="single"/>
        </w:rPr>
        <w:t xml:space="preserve">keičiasi </w:t>
      </w:r>
      <w:r w:rsidR="00775B12" w:rsidRPr="004E2261">
        <w:rPr>
          <w:u w:val="single"/>
        </w:rPr>
        <w:t xml:space="preserve">ir </w:t>
      </w:r>
      <w:r w:rsidRPr="004E2261">
        <w:rPr>
          <w:u w:val="single"/>
        </w:rPr>
        <w:t>delspinigių už pavėluotą muitų sumokėjimą skaičiavimo trukmė tais atvejais, kai skola muitinei atsiranda pagal SMK 79 ar 82 straipsnį arba jeigu apie skolą muitinei pranešama atlikus tikrinimą po prekių išleidimo</w:t>
      </w:r>
      <w:r w:rsidRPr="007171B2">
        <w:t xml:space="preserve"> </w:t>
      </w:r>
      <w:r w:rsidR="00917D1C">
        <w:t>–</w:t>
      </w:r>
      <w:r w:rsidRPr="007171B2">
        <w:t xml:space="preserve"> delspinigiai skaičiuojami ne tik už vėlavimą sumokėti muitus po pranešimo apie po muitinio įforminimo apskaičiuotus muitus, bet ir už laikotarpį nuo skolos muitinei atsiradimo dienos</w:t>
      </w:r>
      <w:r w:rsidR="004C2D4A">
        <w:t xml:space="preserve"> </w:t>
      </w:r>
      <w:r w:rsidR="00656937">
        <w:t>(nuo kitos dienos po to, kai mokestis turėjo būti sumokėtas į biudžetą)</w:t>
      </w:r>
      <w:r w:rsidRPr="007171B2">
        <w:t xml:space="preserve"> </w:t>
      </w:r>
      <w:r w:rsidRPr="00585D16">
        <w:rPr>
          <w:u w:val="single"/>
        </w:rPr>
        <w:t>iki pranešimo</w:t>
      </w:r>
      <w:r w:rsidRPr="00775B12">
        <w:t xml:space="preserve"> apie ją </w:t>
      </w:r>
      <w:r w:rsidRPr="007171B2">
        <w:t>dienos</w:t>
      </w:r>
      <w:r w:rsidR="004C2D4A">
        <w:t xml:space="preserve"> įskaitytinai</w:t>
      </w:r>
      <w:r w:rsidRPr="007171B2">
        <w:t xml:space="preserve"> (SMK 114 straipsnio 2 dalis).</w:t>
      </w:r>
      <w:r w:rsidRPr="003F7100">
        <w:t xml:space="preserve"> </w:t>
      </w:r>
    </w:p>
    <w:p w:rsidR="00905658" w:rsidRDefault="00905658" w:rsidP="0069622C">
      <w:pPr>
        <w:ind w:firstLine="720"/>
        <w:jc w:val="both"/>
      </w:pPr>
    </w:p>
    <w:p w:rsidR="00917D1C" w:rsidRPr="003F7100" w:rsidRDefault="00917D1C" w:rsidP="0069622C">
      <w:pPr>
        <w:ind w:firstLine="720"/>
        <w:jc w:val="both"/>
      </w:pPr>
      <w:r>
        <w:t xml:space="preserve">Taip pat pažymėtina, kad </w:t>
      </w:r>
      <w:r w:rsidRPr="00581477">
        <w:rPr>
          <w:u w:val="single"/>
        </w:rPr>
        <w:t>muitinė gali nereikalauti</w:t>
      </w:r>
      <w:r w:rsidR="00B77D81" w:rsidRPr="00581477">
        <w:rPr>
          <w:u w:val="single"/>
        </w:rPr>
        <w:t>,</w:t>
      </w:r>
      <w:r w:rsidRPr="00581477">
        <w:rPr>
          <w:u w:val="single"/>
        </w:rPr>
        <w:t xml:space="preserve"> kad būtų mokami muitų delspinigiai tik SMK 114 straipsnio 3 dalyje nurodytais atvejais</w:t>
      </w:r>
      <w:r>
        <w:t>.</w:t>
      </w:r>
      <w:r w:rsidR="00B77D81">
        <w:t xml:space="preserve"> Išimtinių nuostatų dėl biudžetinių įstaigų delspinigių apskaičiavimo ir mokėjimo srityje SMK ir jį įgyvendinančiuose teisės aktuose nėra. </w:t>
      </w:r>
    </w:p>
    <w:p w:rsidR="0069622C" w:rsidRDefault="0069622C" w:rsidP="00425849">
      <w:pPr>
        <w:ind w:firstLine="720"/>
        <w:jc w:val="both"/>
        <w:rPr>
          <w:highlight w:val="yellow"/>
        </w:rPr>
      </w:pPr>
    </w:p>
    <w:p w:rsidR="00585D16" w:rsidRDefault="00585D16" w:rsidP="00585D16">
      <w:pPr>
        <w:jc w:val="both"/>
        <w:rPr>
          <w:b/>
        </w:rPr>
      </w:pPr>
      <w:r w:rsidRPr="007171B2">
        <w:rPr>
          <w:b/>
          <w:u w:val="single"/>
        </w:rPr>
        <w:t>Pereinamasis laikotarpis</w:t>
      </w:r>
      <w:r>
        <w:rPr>
          <w:b/>
          <w:u w:val="single"/>
        </w:rPr>
        <w:t xml:space="preserve"> dėl muitų delspinigių ir palūkanų</w:t>
      </w:r>
      <w:r w:rsidRPr="00D34F49">
        <w:rPr>
          <w:b/>
        </w:rPr>
        <w:t xml:space="preserve"> </w:t>
      </w:r>
    </w:p>
    <w:p w:rsidR="00585D16" w:rsidRDefault="00585D16" w:rsidP="00585D16">
      <w:pPr>
        <w:pStyle w:val="ListParagraph"/>
        <w:numPr>
          <w:ilvl w:val="0"/>
          <w:numId w:val="6"/>
        </w:numPr>
        <w:ind w:hanging="11"/>
        <w:jc w:val="both"/>
      </w:pPr>
      <w:r>
        <w:t>k</w:t>
      </w:r>
      <w:r w:rsidRPr="008A2C26">
        <w:t>ai skola muitinei atsiranda pagal SMK 79 ar 82 straipsnį arba jeigu apie skolą muitinei pranešama atlikus tikrinimą po prekių išleidimo</w:t>
      </w:r>
      <w:r>
        <w:t>,</w:t>
      </w:r>
      <w:r w:rsidRPr="007171B2">
        <w:t xml:space="preserve"> </w:t>
      </w:r>
      <w:r>
        <w:t xml:space="preserve">už laikotarpį iki </w:t>
      </w:r>
      <w:r w:rsidRPr="00585D16">
        <w:rPr>
          <w:bCs/>
        </w:rPr>
        <w:t>2016 m. balandžio 30 d. muito delspinigiai neskaičiuojami,</w:t>
      </w:r>
      <w:r>
        <w:rPr>
          <w:bCs/>
        </w:rPr>
        <w:t xml:space="preserve"> o</w:t>
      </w:r>
      <w:r w:rsidRPr="00585D16">
        <w:rPr>
          <w:bCs/>
        </w:rPr>
        <w:t xml:space="preserve"> už laikotarpį nuo gegužės 1 d. </w:t>
      </w:r>
      <w:r>
        <w:rPr>
          <w:bCs/>
        </w:rPr>
        <w:t>–</w:t>
      </w:r>
      <w:r w:rsidR="002F3399">
        <w:rPr>
          <w:bCs/>
        </w:rPr>
        <w:t xml:space="preserve"> </w:t>
      </w:r>
      <w:r>
        <w:t xml:space="preserve">taikant SMK 114 str. nustatytą delspinigių skaičiavimo trukmę;  </w:t>
      </w:r>
    </w:p>
    <w:p w:rsidR="00585D16" w:rsidRDefault="00585D16" w:rsidP="00585D16">
      <w:pPr>
        <w:pStyle w:val="ListParagraph"/>
        <w:numPr>
          <w:ilvl w:val="0"/>
          <w:numId w:val="2"/>
        </w:numPr>
        <w:ind w:hanging="11"/>
        <w:jc w:val="both"/>
      </w:pPr>
      <w:r>
        <w:lastRenderedPageBreak/>
        <w:t xml:space="preserve">už laikotarpį iki </w:t>
      </w:r>
      <w:r w:rsidRPr="003F7100">
        <w:rPr>
          <w:bCs/>
        </w:rPr>
        <w:t>2016</w:t>
      </w:r>
      <w:r>
        <w:rPr>
          <w:bCs/>
        </w:rPr>
        <w:t xml:space="preserve"> m. gegužės 1 d. muito delspinigiai </w:t>
      </w:r>
      <w:r>
        <w:t>skaičiuojami taikant finansų ministro nustatytas normas;</w:t>
      </w:r>
    </w:p>
    <w:p w:rsidR="00585D16" w:rsidRDefault="00585D16" w:rsidP="00585D16">
      <w:pPr>
        <w:pStyle w:val="ListParagraph"/>
        <w:numPr>
          <w:ilvl w:val="0"/>
          <w:numId w:val="2"/>
        </w:numPr>
        <w:ind w:hanging="11"/>
        <w:jc w:val="both"/>
      </w:pPr>
      <w:r>
        <w:t xml:space="preserve">už laikotarpį nuo </w:t>
      </w:r>
      <w:r w:rsidRPr="003F7100">
        <w:rPr>
          <w:bCs/>
        </w:rPr>
        <w:t>2016</w:t>
      </w:r>
      <w:r>
        <w:rPr>
          <w:bCs/>
        </w:rPr>
        <w:t xml:space="preserve"> m. gegužės 1 d. </w:t>
      </w:r>
      <w:r>
        <w:t>– taikant SMK 112 ir 114 str. nustatytas normas.</w:t>
      </w:r>
    </w:p>
    <w:p w:rsidR="00CD224F" w:rsidRDefault="00CD224F" w:rsidP="007171B2">
      <w:pPr>
        <w:pStyle w:val="ListParagraph"/>
        <w:ind w:left="0" w:firstLine="709"/>
        <w:jc w:val="both"/>
        <w:rPr>
          <w:b/>
        </w:rPr>
      </w:pPr>
    </w:p>
    <w:p w:rsidR="000A0126" w:rsidRPr="007171B2" w:rsidRDefault="000A0126" w:rsidP="007171B2">
      <w:pPr>
        <w:pStyle w:val="ListParagraph"/>
        <w:ind w:left="0" w:firstLine="709"/>
        <w:jc w:val="both"/>
        <w:rPr>
          <w:b/>
        </w:rPr>
      </w:pPr>
      <w:r w:rsidRPr="00EE7ECE">
        <w:rPr>
          <w:b/>
        </w:rPr>
        <w:t>Delspinigi</w:t>
      </w:r>
      <w:r w:rsidR="00EE7ECE" w:rsidRPr="00EE7ECE">
        <w:rPr>
          <w:b/>
        </w:rPr>
        <w:t>ų skaičiavimo pavyzdžiai</w:t>
      </w:r>
      <w:r w:rsidRPr="00EE7ECE">
        <w:rPr>
          <w:b/>
        </w:rPr>
        <w:t>:</w:t>
      </w:r>
    </w:p>
    <w:p w:rsidR="002F3399" w:rsidRDefault="00585D16" w:rsidP="00585D16">
      <w:pPr>
        <w:pStyle w:val="ListParagraph"/>
        <w:numPr>
          <w:ilvl w:val="0"/>
          <w:numId w:val="7"/>
        </w:numPr>
        <w:tabs>
          <w:tab w:val="left" w:pos="1134"/>
        </w:tabs>
        <w:ind w:left="0" w:firstLine="698"/>
        <w:jc w:val="both"/>
      </w:pPr>
      <w:r>
        <w:t>Pvz., 2016</w:t>
      </w:r>
      <w:r w:rsidR="002F3399">
        <w:t xml:space="preserve"> m.</w:t>
      </w:r>
      <w:r>
        <w:t xml:space="preserve"> balandžio 16 d. turėjo būti sumokėti muitinės deklaracijoje apskaičiuoti muitai, tačiau asmuo juos sumokėjo gegužės 12 d. </w:t>
      </w:r>
    </w:p>
    <w:p w:rsidR="002F3399" w:rsidRDefault="002F3399" w:rsidP="002F3399">
      <w:pPr>
        <w:pStyle w:val="ListParagraph"/>
        <w:tabs>
          <w:tab w:val="left" w:pos="1134"/>
        </w:tabs>
        <w:ind w:left="698"/>
        <w:jc w:val="both"/>
      </w:pPr>
      <w:r>
        <w:t>Delspinigių skaičiavimas:</w:t>
      </w:r>
    </w:p>
    <w:p w:rsidR="002F3399" w:rsidRDefault="00585D16" w:rsidP="002F3399">
      <w:pPr>
        <w:pStyle w:val="ListParagraph"/>
        <w:tabs>
          <w:tab w:val="left" w:pos="1134"/>
        </w:tabs>
        <w:ind w:left="0" w:firstLine="698"/>
        <w:jc w:val="both"/>
      </w:pPr>
      <w:r>
        <w:t xml:space="preserve">nuo </w:t>
      </w:r>
      <w:r w:rsidR="002F3399">
        <w:t>2016-04-17</w:t>
      </w:r>
      <w:r>
        <w:t xml:space="preserve"> iki </w:t>
      </w:r>
      <w:r w:rsidR="002F3399">
        <w:t>2016-04-30 –</w:t>
      </w:r>
      <w:r>
        <w:t>taik</w:t>
      </w:r>
      <w:r w:rsidR="002F3399">
        <w:t>oma</w:t>
      </w:r>
      <w:r>
        <w:t xml:space="preserve"> finansų ministro nustatyt</w:t>
      </w:r>
      <w:r w:rsidR="002F3399">
        <w:t>a</w:t>
      </w:r>
      <w:r>
        <w:t xml:space="preserve"> norm</w:t>
      </w:r>
      <w:r w:rsidR="002F3399">
        <w:t>a;</w:t>
      </w:r>
    </w:p>
    <w:p w:rsidR="00585D16" w:rsidRDefault="00585D16" w:rsidP="002F3399">
      <w:pPr>
        <w:pStyle w:val="ListParagraph"/>
        <w:tabs>
          <w:tab w:val="left" w:pos="1134"/>
        </w:tabs>
        <w:ind w:left="0" w:firstLine="698"/>
        <w:jc w:val="both"/>
      </w:pPr>
      <w:r>
        <w:t xml:space="preserve">nuo </w:t>
      </w:r>
      <w:r w:rsidR="002F3399">
        <w:t xml:space="preserve">2016-05-01 </w:t>
      </w:r>
      <w:r>
        <w:t xml:space="preserve">iki </w:t>
      </w:r>
      <w:r w:rsidR="002F3399">
        <w:t>2016-05-11</w:t>
      </w:r>
      <w:r>
        <w:t xml:space="preserve"> – taik</w:t>
      </w:r>
      <w:r w:rsidR="002F3399">
        <w:t>oma</w:t>
      </w:r>
      <w:r>
        <w:t xml:space="preserve"> SMK 114 str. nustatyt</w:t>
      </w:r>
      <w:r w:rsidR="002F3399">
        <w:t>a</w:t>
      </w:r>
      <w:r>
        <w:t xml:space="preserve"> norm</w:t>
      </w:r>
      <w:r w:rsidR="002F3399">
        <w:t>a</w:t>
      </w:r>
      <w:r w:rsidR="003F2055">
        <w:t>,</w:t>
      </w:r>
      <w:r w:rsidR="003F2055" w:rsidRPr="003F2055">
        <w:t xml:space="preserve"> </w:t>
      </w:r>
      <w:r w:rsidR="003F2055">
        <w:t xml:space="preserve">t. y. 2016-04-01 </w:t>
      </w:r>
      <w:r w:rsidR="003F2055" w:rsidRPr="003F7100">
        <w:t xml:space="preserve">Europos Centrinio Banko </w:t>
      </w:r>
      <w:r w:rsidR="003F2055">
        <w:t>nustatyta palūkanų norma, padidinta 2 procentiniais punktais (toliau –</w:t>
      </w:r>
      <w:r w:rsidR="003F2055" w:rsidRPr="003F2055">
        <w:t xml:space="preserve"> </w:t>
      </w:r>
      <w:r w:rsidR="003F2055">
        <w:t>taikoma SMK 114 str. nustatyta norma)</w:t>
      </w:r>
      <w:r>
        <w:t>.</w:t>
      </w:r>
    </w:p>
    <w:p w:rsidR="000A0126" w:rsidRDefault="000A0126" w:rsidP="002F3399">
      <w:pPr>
        <w:pStyle w:val="ListParagraph"/>
        <w:numPr>
          <w:ilvl w:val="0"/>
          <w:numId w:val="7"/>
        </w:numPr>
        <w:tabs>
          <w:tab w:val="left" w:pos="1134"/>
        </w:tabs>
        <w:ind w:left="0" w:firstLine="698"/>
        <w:jc w:val="both"/>
      </w:pPr>
      <w:r w:rsidRPr="00755C5E">
        <w:t>Pvz.</w:t>
      </w:r>
      <w:r>
        <w:t xml:space="preserve">, </w:t>
      </w:r>
      <w:r w:rsidR="00D34F49">
        <w:t xml:space="preserve">2016 m. </w:t>
      </w:r>
      <w:r>
        <w:t>birželio 5 d. priimamas sprendimas</w:t>
      </w:r>
      <w:r w:rsidR="00D34F49">
        <w:t xml:space="preserve"> dėl pagal 2016 m. balandžio 10 d. </w:t>
      </w:r>
      <w:r w:rsidR="007171B2">
        <w:t xml:space="preserve">įformintą </w:t>
      </w:r>
      <w:r w:rsidR="00D34F49">
        <w:t xml:space="preserve">muitinės deklaraciją po muitinio įforminimo apskaičiuotų </w:t>
      </w:r>
      <w:r w:rsidR="007171B2">
        <w:t>muitų</w:t>
      </w:r>
      <w:r w:rsidR="00D34F49">
        <w:t xml:space="preserve"> įregistravimo.</w:t>
      </w:r>
      <w:r>
        <w:t xml:space="preserve"> Asmeniui pranešta </w:t>
      </w:r>
      <w:r w:rsidR="00D34F49">
        <w:t>2016 m. birželio 7 d.</w:t>
      </w:r>
    </w:p>
    <w:p w:rsidR="000A0126" w:rsidRDefault="002F3399" w:rsidP="002F3399">
      <w:pPr>
        <w:pStyle w:val="ListParagraph"/>
        <w:ind w:left="709" w:hanging="11"/>
        <w:jc w:val="both"/>
      </w:pPr>
      <w:r>
        <w:t>Delspinigių skaičiavimas</w:t>
      </w:r>
      <w:r w:rsidR="000A0126">
        <w:t>:</w:t>
      </w:r>
    </w:p>
    <w:p w:rsidR="000A0126" w:rsidRDefault="000A0126" w:rsidP="007171B2">
      <w:pPr>
        <w:pStyle w:val="ListParagraph"/>
        <w:ind w:hanging="11"/>
        <w:jc w:val="both"/>
      </w:pPr>
      <w:r>
        <w:t xml:space="preserve">nuo </w:t>
      </w:r>
      <w:r w:rsidR="00D34F49">
        <w:t>2016</w:t>
      </w:r>
      <w:r w:rsidR="007171B2">
        <w:t>-</w:t>
      </w:r>
      <w:r>
        <w:t>04</w:t>
      </w:r>
      <w:r w:rsidR="007171B2">
        <w:t>-</w:t>
      </w:r>
      <w:r>
        <w:t xml:space="preserve">10 iki </w:t>
      </w:r>
      <w:r w:rsidR="00D34F49">
        <w:t>2016</w:t>
      </w:r>
      <w:r w:rsidR="007171B2">
        <w:t>-</w:t>
      </w:r>
      <w:r>
        <w:t>04</w:t>
      </w:r>
      <w:r w:rsidR="007171B2">
        <w:t>-</w:t>
      </w:r>
      <w:r>
        <w:t xml:space="preserve">30 </w:t>
      </w:r>
      <w:r w:rsidR="007171B2">
        <w:t xml:space="preserve">– </w:t>
      </w:r>
      <w:r w:rsidR="00585D16">
        <w:t xml:space="preserve">delspinigiai </w:t>
      </w:r>
      <w:r w:rsidR="00585D16" w:rsidRPr="002F3399">
        <w:rPr>
          <w:u w:val="single"/>
        </w:rPr>
        <w:t>neskaičiuojami</w:t>
      </w:r>
      <w:r>
        <w:t>;</w:t>
      </w:r>
    </w:p>
    <w:p w:rsidR="000A0126" w:rsidRDefault="000A0126" w:rsidP="007171B2">
      <w:pPr>
        <w:pStyle w:val="ListParagraph"/>
        <w:ind w:left="0" w:firstLine="709"/>
        <w:jc w:val="both"/>
      </w:pPr>
      <w:r>
        <w:t xml:space="preserve">nuo </w:t>
      </w:r>
      <w:r w:rsidR="00D34F49">
        <w:t>2016</w:t>
      </w:r>
      <w:r w:rsidR="007171B2">
        <w:t>-</w:t>
      </w:r>
      <w:r>
        <w:t>05</w:t>
      </w:r>
      <w:r w:rsidR="007171B2">
        <w:t>-</w:t>
      </w:r>
      <w:r>
        <w:t xml:space="preserve">01 iki </w:t>
      </w:r>
      <w:r w:rsidR="00D34F49">
        <w:t>2016</w:t>
      </w:r>
      <w:r w:rsidR="007171B2">
        <w:t>-</w:t>
      </w:r>
      <w:r>
        <w:t>06</w:t>
      </w:r>
      <w:r w:rsidR="007171B2">
        <w:t>-</w:t>
      </w:r>
      <w:r>
        <w:t>07</w:t>
      </w:r>
      <w:r w:rsidR="002C29BF">
        <w:t xml:space="preserve"> įskaitytinai</w:t>
      </w:r>
      <w:r>
        <w:t xml:space="preserve"> </w:t>
      </w:r>
      <w:r w:rsidR="007171B2">
        <w:t xml:space="preserve">– </w:t>
      </w:r>
      <w:r w:rsidR="00755C5E">
        <w:t>taikoma</w:t>
      </w:r>
      <w:r>
        <w:t xml:space="preserve"> SMK 114 str.</w:t>
      </w:r>
      <w:r w:rsidR="00755C5E" w:rsidRPr="00755C5E">
        <w:t xml:space="preserve"> </w:t>
      </w:r>
      <w:r w:rsidR="00755C5E">
        <w:t>nustatyta norma</w:t>
      </w:r>
      <w:proofErr w:type="gramStart"/>
      <w:r w:rsidR="00673D61">
        <w:t xml:space="preserve">        </w:t>
      </w:r>
      <w:proofErr w:type="gramEnd"/>
      <w:r w:rsidR="00673D61">
        <w:t>(</w:t>
      </w:r>
      <w:r w:rsidR="00EC4E79">
        <w:t xml:space="preserve">t.y. </w:t>
      </w:r>
      <w:r w:rsidR="00EC4E79" w:rsidRPr="003F7100">
        <w:t xml:space="preserve">Europos Centrinio Banko </w:t>
      </w:r>
      <w:r w:rsidR="00BB48CA">
        <w:t xml:space="preserve">2016-04-01 </w:t>
      </w:r>
      <w:r w:rsidR="00EC4E79">
        <w:t>nustatyta delspinigių norma</w:t>
      </w:r>
      <w:r w:rsidR="00673D61">
        <w:t>)</w:t>
      </w:r>
      <w:r w:rsidR="00D34F49">
        <w:t>;</w:t>
      </w:r>
      <w:r>
        <w:t xml:space="preserve"> </w:t>
      </w:r>
    </w:p>
    <w:p w:rsidR="000A0126" w:rsidRDefault="000A0126" w:rsidP="007171B2">
      <w:pPr>
        <w:pStyle w:val="ListParagraph"/>
        <w:ind w:hanging="11"/>
        <w:jc w:val="both"/>
      </w:pPr>
      <w:r>
        <w:t xml:space="preserve">nuo </w:t>
      </w:r>
      <w:r w:rsidR="007171B2">
        <w:t>2016-</w:t>
      </w:r>
      <w:r>
        <w:t>06</w:t>
      </w:r>
      <w:r w:rsidR="007171B2">
        <w:t>-</w:t>
      </w:r>
      <w:r>
        <w:t>0</w:t>
      </w:r>
      <w:r w:rsidR="00D34F49">
        <w:t>8</w:t>
      </w:r>
      <w:r>
        <w:t xml:space="preserve"> iki </w:t>
      </w:r>
      <w:r w:rsidR="00D34F49">
        <w:t>2016</w:t>
      </w:r>
      <w:r w:rsidR="007171B2">
        <w:t>-</w:t>
      </w:r>
      <w:r>
        <w:t>06</w:t>
      </w:r>
      <w:r w:rsidR="007171B2">
        <w:t>-</w:t>
      </w:r>
      <w:r>
        <w:t>1</w:t>
      </w:r>
      <w:r w:rsidR="00D34F49">
        <w:t>7</w:t>
      </w:r>
      <w:r>
        <w:t xml:space="preserve"> </w:t>
      </w:r>
      <w:r w:rsidR="007171B2">
        <w:t xml:space="preserve">– </w:t>
      </w:r>
      <w:r w:rsidR="00D34F49">
        <w:t xml:space="preserve">delspinigiai </w:t>
      </w:r>
      <w:r>
        <w:t>neskaičiuojami</w:t>
      </w:r>
      <w:r w:rsidR="00D34F49">
        <w:t>;</w:t>
      </w:r>
      <w:r>
        <w:t xml:space="preserve"> </w:t>
      </w:r>
    </w:p>
    <w:p w:rsidR="00755C5E" w:rsidRDefault="000A0126" w:rsidP="00755C5E">
      <w:pPr>
        <w:pStyle w:val="ListParagraph"/>
        <w:ind w:left="0" w:firstLine="709"/>
        <w:jc w:val="both"/>
      </w:pPr>
      <w:r>
        <w:t xml:space="preserve">nuo </w:t>
      </w:r>
      <w:r w:rsidR="00D34F49">
        <w:t>2016</w:t>
      </w:r>
      <w:r w:rsidR="007171B2">
        <w:t>-</w:t>
      </w:r>
      <w:r>
        <w:t>06</w:t>
      </w:r>
      <w:r w:rsidR="007171B2">
        <w:t>-1</w:t>
      </w:r>
      <w:r w:rsidR="00D34F49">
        <w:t>8</w:t>
      </w:r>
      <w:r>
        <w:t xml:space="preserve"> iki sumokėjimo </w:t>
      </w:r>
      <w:r w:rsidR="00D34F49">
        <w:t>dienos</w:t>
      </w:r>
      <w:r w:rsidR="002C29BF">
        <w:t xml:space="preserve"> įskaitytinai</w:t>
      </w:r>
      <w:r w:rsidR="007171B2">
        <w:t xml:space="preserve"> – </w:t>
      </w:r>
      <w:r w:rsidR="00755C5E">
        <w:t>taikoma SMK 114 str.</w:t>
      </w:r>
      <w:r w:rsidR="00755C5E" w:rsidRPr="00755C5E">
        <w:t xml:space="preserve"> </w:t>
      </w:r>
      <w:r w:rsidR="00755C5E">
        <w:t>nustatyta norma</w:t>
      </w:r>
      <w:r w:rsidR="00673D61">
        <w:t xml:space="preserve"> (t.y. </w:t>
      </w:r>
      <w:r w:rsidR="00EC4E79" w:rsidRPr="003F7100">
        <w:t>Europos Centrinio Banko</w:t>
      </w:r>
      <w:r w:rsidR="00BB48CA">
        <w:t xml:space="preserve"> </w:t>
      </w:r>
      <w:r w:rsidR="00BB48CA">
        <w:t xml:space="preserve">2016-06-01 </w:t>
      </w:r>
      <w:bookmarkStart w:id="0" w:name="_GoBack"/>
      <w:bookmarkEnd w:id="0"/>
      <w:r w:rsidR="00EC4E79">
        <w:t>nustatyta</w:t>
      </w:r>
      <w:r w:rsidR="00BB48CA">
        <w:t xml:space="preserve"> </w:t>
      </w:r>
      <w:r w:rsidR="00EC4E79">
        <w:t>delspinigių norma</w:t>
      </w:r>
      <w:r w:rsidR="00673D61">
        <w:t>)</w:t>
      </w:r>
      <w:r w:rsidR="00755C5E">
        <w:t xml:space="preserve">. </w:t>
      </w:r>
    </w:p>
    <w:p w:rsidR="00905658" w:rsidRDefault="00905658" w:rsidP="00581477">
      <w:pPr>
        <w:pStyle w:val="ListParagraph"/>
        <w:numPr>
          <w:ilvl w:val="0"/>
          <w:numId w:val="7"/>
        </w:numPr>
        <w:tabs>
          <w:tab w:val="left" w:pos="0"/>
          <w:tab w:val="left" w:pos="1134"/>
        </w:tabs>
        <w:ind w:left="0" w:firstLine="698"/>
        <w:jc w:val="both"/>
      </w:pPr>
      <w:r>
        <w:t xml:space="preserve">Pvz., 2016 m. liepos 1 d. priimamas sprendimas dėl pagal 2016 m. gegužės 10 d. įformintą deklaraciją </w:t>
      </w:r>
      <w:proofErr w:type="gramStart"/>
      <w:r>
        <w:t>(</w:t>
      </w:r>
      <w:proofErr w:type="gramEnd"/>
      <w:r>
        <w:t>pateikus garantiją mokėjimas atidėtas iki birželio 16</w:t>
      </w:r>
      <w:r w:rsidR="00425C74">
        <w:t xml:space="preserve"> </w:t>
      </w:r>
      <w:r>
        <w:t>d.)</w:t>
      </w:r>
      <w:r w:rsidRPr="00905658">
        <w:t xml:space="preserve"> </w:t>
      </w:r>
      <w:r>
        <w:t xml:space="preserve">po muitinio įforminimo apskaičiuotų muitų įregistravimo. Asmeniui </w:t>
      </w:r>
      <w:r w:rsidR="00425C74">
        <w:t xml:space="preserve">apie skolą </w:t>
      </w:r>
      <w:r>
        <w:t>pranešta 2016 m. liepos 4 d. Papildomai apskaičiuoti muitai nesumokėti.</w:t>
      </w:r>
    </w:p>
    <w:p w:rsidR="00905658" w:rsidRDefault="00905658" w:rsidP="00673D61">
      <w:pPr>
        <w:pStyle w:val="ListParagraph"/>
        <w:ind w:left="709" w:hanging="11"/>
        <w:jc w:val="both"/>
      </w:pPr>
      <w:r>
        <w:t>Delspinigių skaičiavimas:</w:t>
      </w:r>
    </w:p>
    <w:p w:rsidR="00905658" w:rsidRDefault="00905658" w:rsidP="00DC4D6E">
      <w:pPr>
        <w:pStyle w:val="ListParagraph"/>
        <w:ind w:left="0" w:firstLine="698"/>
        <w:jc w:val="both"/>
      </w:pPr>
      <w:r w:rsidRPr="00581477">
        <w:rPr>
          <w:b/>
        </w:rPr>
        <w:t>nuo 2016-05-</w:t>
      </w:r>
      <w:r w:rsidR="002C29BF" w:rsidRPr="00581477">
        <w:rPr>
          <w:b/>
        </w:rPr>
        <w:t>1</w:t>
      </w:r>
      <w:r w:rsidR="002C29BF">
        <w:rPr>
          <w:b/>
        </w:rPr>
        <w:t>1</w:t>
      </w:r>
      <w:r w:rsidR="002C29BF">
        <w:t xml:space="preserve"> </w:t>
      </w:r>
      <w:r>
        <w:t>iki 2016-0</w:t>
      </w:r>
      <w:r w:rsidR="00132A4A">
        <w:t>7</w:t>
      </w:r>
      <w:r>
        <w:t>-</w:t>
      </w:r>
      <w:r w:rsidR="00132A4A">
        <w:t>04</w:t>
      </w:r>
      <w:r w:rsidR="002C29BF">
        <w:t xml:space="preserve"> įskaitytinai</w:t>
      </w:r>
      <w:r>
        <w:t xml:space="preserve"> – taikoma SMK 114 str.</w:t>
      </w:r>
      <w:r w:rsidRPr="00755C5E">
        <w:t xml:space="preserve"> </w:t>
      </w:r>
      <w:r>
        <w:t>nustatyta norma</w:t>
      </w:r>
      <w:proofErr w:type="gramStart"/>
      <w:r w:rsidR="00673D61">
        <w:t xml:space="preserve">                    </w:t>
      </w:r>
      <w:proofErr w:type="gramEnd"/>
      <w:r w:rsidR="00673D61">
        <w:t xml:space="preserve">(t.y. </w:t>
      </w:r>
      <w:r w:rsidR="00EC4E79" w:rsidRPr="003F7100">
        <w:t>Europos Centrinio Banko</w:t>
      </w:r>
      <w:r w:rsidR="00BB48CA">
        <w:t xml:space="preserve"> </w:t>
      </w:r>
      <w:r w:rsidR="00BB48CA">
        <w:t xml:space="preserve">2016-05-01 </w:t>
      </w:r>
      <w:r w:rsidR="00EC4E79">
        <w:t>nustatyta</w:t>
      </w:r>
      <w:r w:rsidR="00BB48CA">
        <w:t xml:space="preserve"> </w:t>
      </w:r>
      <w:r w:rsidR="00EC4E79">
        <w:t>delspinigių norma</w:t>
      </w:r>
      <w:r w:rsidR="00673D61">
        <w:t>)</w:t>
      </w:r>
      <w:r>
        <w:t xml:space="preserve">; </w:t>
      </w:r>
    </w:p>
    <w:p w:rsidR="00905658" w:rsidRDefault="00905658" w:rsidP="00673D61">
      <w:pPr>
        <w:pStyle w:val="ListParagraph"/>
        <w:ind w:hanging="11"/>
        <w:jc w:val="both"/>
      </w:pPr>
      <w:r>
        <w:t>nuo 2016-0</w:t>
      </w:r>
      <w:r w:rsidR="00132A4A">
        <w:t>7</w:t>
      </w:r>
      <w:r>
        <w:t>-0</w:t>
      </w:r>
      <w:r w:rsidR="00132A4A">
        <w:t>5</w:t>
      </w:r>
      <w:r>
        <w:t xml:space="preserve"> iki 2016-0</w:t>
      </w:r>
      <w:r w:rsidR="00132A4A">
        <w:t>7</w:t>
      </w:r>
      <w:r>
        <w:t>-1</w:t>
      </w:r>
      <w:r w:rsidR="00132A4A">
        <w:t>4</w:t>
      </w:r>
      <w:r>
        <w:t xml:space="preserve"> – delspinigiai neskaičiuojami; </w:t>
      </w:r>
    </w:p>
    <w:p w:rsidR="00905658" w:rsidRDefault="00905658" w:rsidP="00673D61">
      <w:pPr>
        <w:pStyle w:val="ListParagraph"/>
        <w:ind w:left="0" w:firstLine="709"/>
        <w:jc w:val="both"/>
      </w:pPr>
      <w:r>
        <w:t>nuo 2016-0</w:t>
      </w:r>
      <w:r w:rsidR="00132A4A">
        <w:t>7</w:t>
      </w:r>
      <w:r>
        <w:t>-1</w:t>
      </w:r>
      <w:r w:rsidR="00132A4A">
        <w:t>5</w:t>
      </w:r>
      <w:r>
        <w:t xml:space="preserve"> iki sumokėjimo dienos</w:t>
      </w:r>
      <w:r w:rsidR="002C29BF">
        <w:t xml:space="preserve"> įskaitytinai</w:t>
      </w:r>
      <w:r>
        <w:t xml:space="preserve"> – taikoma SMK 114 str.</w:t>
      </w:r>
      <w:r w:rsidRPr="00755C5E">
        <w:t xml:space="preserve"> </w:t>
      </w:r>
      <w:r>
        <w:t>nustatyta norma</w:t>
      </w:r>
      <w:r w:rsidR="00673D61">
        <w:t xml:space="preserve"> </w:t>
      </w:r>
      <w:proofErr w:type="gramStart"/>
      <w:r w:rsidR="00673D61">
        <w:t>(</w:t>
      </w:r>
      <w:proofErr w:type="gramEnd"/>
      <w:r w:rsidR="00673D61">
        <w:t>t.y.</w:t>
      </w:r>
      <w:r w:rsidR="00EC4E79" w:rsidRPr="00EC4E79">
        <w:t xml:space="preserve"> </w:t>
      </w:r>
      <w:r w:rsidR="00EC4E79" w:rsidRPr="003F7100">
        <w:t xml:space="preserve">Europos Centrinio Banko </w:t>
      </w:r>
      <w:r w:rsidR="00BB48CA">
        <w:t xml:space="preserve">2016-07-01 </w:t>
      </w:r>
      <w:r w:rsidR="00EC4E79">
        <w:t>nustatyta delspinigių norma</w:t>
      </w:r>
      <w:r w:rsidR="00673D61">
        <w:t>)</w:t>
      </w:r>
      <w:r>
        <w:t xml:space="preserve">. </w:t>
      </w:r>
    </w:p>
    <w:p w:rsidR="00905658" w:rsidRDefault="00905658" w:rsidP="00581477">
      <w:pPr>
        <w:pStyle w:val="ListParagraph"/>
        <w:ind w:left="1058"/>
        <w:jc w:val="both"/>
      </w:pPr>
    </w:p>
    <w:p w:rsidR="007171B2" w:rsidRPr="007171B2" w:rsidRDefault="007171B2" w:rsidP="007171B2">
      <w:pPr>
        <w:ind w:firstLine="709"/>
        <w:jc w:val="both"/>
        <w:rPr>
          <w:b/>
        </w:rPr>
      </w:pPr>
      <w:r w:rsidRPr="007171B2">
        <w:rPr>
          <w:b/>
        </w:rPr>
        <w:t>Palūkan</w:t>
      </w:r>
      <w:r w:rsidR="00EE7ECE">
        <w:rPr>
          <w:b/>
        </w:rPr>
        <w:t>ų skaičiavimo paaiškinimai</w:t>
      </w:r>
      <w:r w:rsidRPr="007171B2">
        <w:rPr>
          <w:b/>
        </w:rPr>
        <w:t>:</w:t>
      </w:r>
    </w:p>
    <w:p w:rsidR="007171B2" w:rsidRDefault="007171B2" w:rsidP="007171B2">
      <w:pPr>
        <w:pStyle w:val="ListParagraph"/>
        <w:ind w:left="0" w:firstLine="720"/>
        <w:jc w:val="both"/>
      </w:pPr>
      <w:r w:rsidRPr="007171B2">
        <w:t>Pvz.</w:t>
      </w:r>
      <w:r w:rsidR="00361BDE">
        <w:t xml:space="preserve">, </w:t>
      </w:r>
      <w:r>
        <w:t xml:space="preserve">2016 m. gegužės mėn. išdėstoma muitų skola, kurios </w:t>
      </w:r>
      <w:r w:rsidR="00361BDE">
        <w:t xml:space="preserve">skolos atsiradimo data yra </w:t>
      </w:r>
      <w:r w:rsidR="00BD29C2">
        <w:t xml:space="preserve">     </w:t>
      </w:r>
      <w:r w:rsidR="00361BDE">
        <w:t xml:space="preserve">2016 m. kovo 5 d., </w:t>
      </w:r>
      <w:r w:rsidR="009C311D">
        <w:t>sprendimas dėl po muitinio įforminimo apskaičiuotos skolos muitinei priimtas balandžio 5 d.,</w:t>
      </w:r>
      <w:r>
        <w:t xml:space="preserve"> </w:t>
      </w:r>
      <w:r w:rsidR="009C311D">
        <w:t xml:space="preserve">mokėjimo terminas buvo 2016 m. balandžio 15 d. prašymas ir visi prašymui nagrinėti reikiami dokumentai pateikti balandžio 25 d.  </w:t>
      </w:r>
      <w:r>
        <w:t xml:space="preserve">Palūkanos skaičiuojamos </w:t>
      </w:r>
      <w:r w:rsidRPr="00461529">
        <w:t xml:space="preserve">nuo </w:t>
      </w:r>
      <w:r w:rsidR="00DA6DE9" w:rsidRPr="00461529">
        <w:t xml:space="preserve">prašymo ir visų prašymui nagrinėti reikiamų dokumentų pateikimo </w:t>
      </w:r>
      <w:r w:rsidRPr="00461529">
        <w:t>momento</w:t>
      </w:r>
      <w:r w:rsidR="00361BDE" w:rsidRPr="00461529">
        <w:t xml:space="preserve"> (t.</w:t>
      </w:r>
      <w:r w:rsidR="00425C74">
        <w:t xml:space="preserve"> </w:t>
      </w:r>
      <w:r w:rsidR="00361BDE" w:rsidRPr="00461529">
        <w:t>y. 2016 m. balandžio 25 d.)</w:t>
      </w:r>
      <w:r w:rsidR="00461529">
        <w:t>.</w:t>
      </w:r>
      <w:r>
        <w:t xml:space="preserve"> Metinė palūkanų norma nustatoma pagal 2016-04-01 Europos Centrinio Banko nustatytą palūkanų normą, padidintą 1 procentiniu punktu ir taikoma visą sutarties galiojimo laiką. </w:t>
      </w:r>
    </w:p>
    <w:p w:rsidR="00361BDE" w:rsidRDefault="00361BDE" w:rsidP="00361BDE">
      <w:pPr>
        <w:jc w:val="both"/>
      </w:pPr>
      <w:r>
        <w:tab/>
        <w:t>Palūkanų skaičiavimas:</w:t>
      </w:r>
    </w:p>
    <w:p w:rsidR="00361BDE" w:rsidRDefault="00361BDE" w:rsidP="00361BDE">
      <w:pPr>
        <w:jc w:val="both"/>
      </w:pPr>
      <w:r>
        <w:tab/>
        <w:t>nuo 2016-04-25 iki 2016-04-30 – taikoma finansų ministro nustatyta norma.</w:t>
      </w:r>
    </w:p>
    <w:p w:rsidR="00361BDE" w:rsidRDefault="00361BDE" w:rsidP="00361BDE">
      <w:pPr>
        <w:jc w:val="both"/>
      </w:pPr>
      <w:r>
        <w:tab/>
        <w:t xml:space="preserve">nuo 2016-05-01 iki </w:t>
      </w:r>
      <w:r w:rsidR="006E74B5">
        <w:t>mokestinės paskolos sutarties grafike nustatytos dienos</w:t>
      </w:r>
      <w:r>
        <w:t xml:space="preserve"> – taikoma SMK 112 str.</w:t>
      </w:r>
      <w:r w:rsidRPr="00755C5E">
        <w:t xml:space="preserve"> </w:t>
      </w:r>
      <w:r>
        <w:t>nustatyta norma</w:t>
      </w:r>
      <w:r w:rsidR="006E74B5">
        <w:t>.</w:t>
      </w:r>
    </w:p>
    <w:p w:rsidR="0096398E" w:rsidRPr="003F7100" w:rsidRDefault="00E9044D" w:rsidP="003F7100">
      <w:pPr>
        <w:jc w:val="both"/>
      </w:pPr>
      <w:r>
        <w:tab/>
      </w:r>
    </w:p>
    <w:p w:rsidR="00917D1C" w:rsidRDefault="00917D1C" w:rsidP="00917D1C">
      <w:pPr>
        <w:autoSpaceDE w:val="0"/>
        <w:autoSpaceDN w:val="0"/>
        <w:adjustRightInd w:val="0"/>
        <w:ind w:firstLine="720"/>
        <w:jc w:val="both"/>
      </w:pPr>
      <w:r>
        <w:t>Atkreipiame dėmesį, kad vadovaujantis SMK 114 str. 4 dalies nuostata, muitinė nereikalauja, kad būtų mokami delspinigiai, jeigu su kiekvienu išieškojimo veiksmu susijusi pinigų</w:t>
      </w:r>
    </w:p>
    <w:p w:rsidR="00917D1C" w:rsidRDefault="00917D1C" w:rsidP="00917D1C">
      <w:pPr>
        <w:autoSpaceDE w:val="0"/>
        <w:autoSpaceDN w:val="0"/>
        <w:adjustRightInd w:val="0"/>
        <w:jc w:val="both"/>
      </w:pPr>
      <w:r>
        <w:t>suma yra mažesnė negu 10 EUR. Su išieškojimo veiksmu susijusi muitų delspinigių suma laikytina</w:t>
      </w:r>
    </w:p>
    <w:p w:rsidR="003E0E78" w:rsidRPr="003F7100" w:rsidRDefault="00917D1C" w:rsidP="00917D1C">
      <w:pPr>
        <w:autoSpaceDE w:val="0"/>
        <w:autoSpaceDN w:val="0"/>
        <w:adjustRightInd w:val="0"/>
        <w:jc w:val="both"/>
      </w:pPr>
      <w:r>
        <w:t xml:space="preserve">pagal vieną </w:t>
      </w:r>
      <w:r w:rsidR="002C29BF">
        <w:t xml:space="preserve">prekę </w:t>
      </w:r>
      <w:r>
        <w:t>po muitinio įforminimo apskaičiuota muitų delspinigių suma ar muitų delspinigių suma, susidariusi laiku nesumokėjus deklaracijoje arba muitinės sprendime apskaičiuotų muitų.</w:t>
      </w:r>
    </w:p>
    <w:sectPr w:rsidR="003E0E78" w:rsidRPr="003F7100" w:rsidSect="000D6C31">
      <w:pgSz w:w="11906" w:h="16838"/>
      <w:pgMar w:top="1134" w:right="567" w:bottom="1134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A04"/>
    <w:multiLevelType w:val="hybridMultilevel"/>
    <w:tmpl w:val="B0DC6D2E"/>
    <w:lvl w:ilvl="0" w:tplc="FB687FBA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78" w:hanging="360"/>
      </w:pPr>
    </w:lvl>
    <w:lvl w:ilvl="2" w:tplc="0427001B" w:tentative="1">
      <w:start w:val="1"/>
      <w:numFmt w:val="lowerRoman"/>
      <w:lvlText w:val="%3."/>
      <w:lvlJc w:val="right"/>
      <w:pPr>
        <w:ind w:left="2498" w:hanging="180"/>
      </w:pPr>
    </w:lvl>
    <w:lvl w:ilvl="3" w:tplc="0427000F" w:tentative="1">
      <w:start w:val="1"/>
      <w:numFmt w:val="decimal"/>
      <w:lvlText w:val="%4."/>
      <w:lvlJc w:val="left"/>
      <w:pPr>
        <w:ind w:left="3218" w:hanging="360"/>
      </w:pPr>
    </w:lvl>
    <w:lvl w:ilvl="4" w:tplc="04270019" w:tentative="1">
      <w:start w:val="1"/>
      <w:numFmt w:val="lowerLetter"/>
      <w:lvlText w:val="%5."/>
      <w:lvlJc w:val="left"/>
      <w:pPr>
        <w:ind w:left="3938" w:hanging="360"/>
      </w:pPr>
    </w:lvl>
    <w:lvl w:ilvl="5" w:tplc="0427001B" w:tentative="1">
      <w:start w:val="1"/>
      <w:numFmt w:val="lowerRoman"/>
      <w:lvlText w:val="%6."/>
      <w:lvlJc w:val="right"/>
      <w:pPr>
        <w:ind w:left="4658" w:hanging="180"/>
      </w:pPr>
    </w:lvl>
    <w:lvl w:ilvl="6" w:tplc="0427000F" w:tentative="1">
      <w:start w:val="1"/>
      <w:numFmt w:val="decimal"/>
      <w:lvlText w:val="%7."/>
      <w:lvlJc w:val="left"/>
      <w:pPr>
        <w:ind w:left="5378" w:hanging="360"/>
      </w:pPr>
    </w:lvl>
    <w:lvl w:ilvl="7" w:tplc="04270019" w:tentative="1">
      <w:start w:val="1"/>
      <w:numFmt w:val="lowerLetter"/>
      <w:lvlText w:val="%8."/>
      <w:lvlJc w:val="left"/>
      <w:pPr>
        <w:ind w:left="6098" w:hanging="360"/>
      </w:pPr>
    </w:lvl>
    <w:lvl w:ilvl="8" w:tplc="0427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17776838"/>
    <w:multiLevelType w:val="hybridMultilevel"/>
    <w:tmpl w:val="8E86286C"/>
    <w:lvl w:ilvl="0" w:tplc="83D648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363E9"/>
    <w:multiLevelType w:val="hybridMultilevel"/>
    <w:tmpl w:val="50985F5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234C1"/>
    <w:multiLevelType w:val="hybridMultilevel"/>
    <w:tmpl w:val="D63C3B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0576D"/>
    <w:multiLevelType w:val="hybridMultilevel"/>
    <w:tmpl w:val="238860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C556C"/>
    <w:multiLevelType w:val="hybridMultilevel"/>
    <w:tmpl w:val="AF40E0C0"/>
    <w:lvl w:ilvl="0" w:tplc="042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5FC25B5"/>
    <w:multiLevelType w:val="hybridMultilevel"/>
    <w:tmpl w:val="94B215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10"/>
    <w:rsid w:val="000034FB"/>
    <w:rsid w:val="0000765F"/>
    <w:rsid w:val="00036C80"/>
    <w:rsid w:val="000460CE"/>
    <w:rsid w:val="000A0126"/>
    <w:rsid w:val="000D6C31"/>
    <w:rsid w:val="001265FE"/>
    <w:rsid w:val="00132A4A"/>
    <w:rsid w:val="001355BF"/>
    <w:rsid w:val="001A09D0"/>
    <w:rsid w:val="001B75DE"/>
    <w:rsid w:val="001D7B09"/>
    <w:rsid w:val="001E5CD5"/>
    <w:rsid w:val="00200C39"/>
    <w:rsid w:val="0023438E"/>
    <w:rsid w:val="00267BE8"/>
    <w:rsid w:val="002C29BF"/>
    <w:rsid w:val="002C6811"/>
    <w:rsid w:val="002D1FBE"/>
    <w:rsid w:val="002F3399"/>
    <w:rsid w:val="00361BDE"/>
    <w:rsid w:val="00382AA5"/>
    <w:rsid w:val="003D2962"/>
    <w:rsid w:val="003D5E6D"/>
    <w:rsid w:val="003E0E78"/>
    <w:rsid w:val="003F2055"/>
    <w:rsid w:val="003F7100"/>
    <w:rsid w:val="00424E56"/>
    <w:rsid w:val="00425849"/>
    <w:rsid w:val="00425C74"/>
    <w:rsid w:val="00426B30"/>
    <w:rsid w:val="00441BFF"/>
    <w:rsid w:val="00461529"/>
    <w:rsid w:val="004C2D4A"/>
    <w:rsid w:val="004E2261"/>
    <w:rsid w:val="005508B7"/>
    <w:rsid w:val="00554D01"/>
    <w:rsid w:val="00567749"/>
    <w:rsid w:val="00581477"/>
    <w:rsid w:val="00585D16"/>
    <w:rsid w:val="00596C54"/>
    <w:rsid w:val="005B4422"/>
    <w:rsid w:val="005F1238"/>
    <w:rsid w:val="00606838"/>
    <w:rsid w:val="00656937"/>
    <w:rsid w:val="00673D61"/>
    <w:rsid w:val="006862F3"/>
    <w:rsid w:val="00692310"/>
    <w:rsid w:val="0069622C"/>
    <w:rsid w:val="006D519D"/>
    <w:rsid w:val="006E74B5"/>
    <w:rsid w:val="006F74A9"/>
    <w:rsid w:val="00714DBE"/>
    <w:rsid w:val="007166B2"/>
    <w:rsid w:val="007171B2"/>
    <w:rsid w:val="007327FB"/>
    <w:rsid w:val="00755C5E"/>
    <w:rsid w:val="00775B12"/>
    <w:rsid w:val="00792776"/>
    <w:rsid w:val="00793DE4"/>
    <w:rsid w:val="007C7A7F"/>
    <w:rsid w:val="008531E0"/>
    <w:rsid w:val="008C32DB"/>
    <w:rsid w:val="008E6E0E"/>
    <w:rsid w:val="00905658"/>
    <w:rsid w:val="00917D1C"/>
    <w:rsid w:val="009327F4"/>
    <w:rsid w:val="00933CF8"/>
    <w:rsid w:val="0096398E"/>
    <w:rsid w:val="009900E8"/>
    <w:rsid w:val="00994ABF"/>
    <w:rsid w:val="00995B9F"/>
    <w:rsid w:val="009C311D"/>
    <w:rsid w:val="009E60E6"/>
    <w:rsid w:val="00A503A7"/>
    <w:rsid w:val="00A81472"/>
    <w:rsid w:val="00A8591A"/>
    <w:rsid w:val="00AB23DA"/>
    <w:rsid w:val="00AC1B29"/>
    <w:rsid w:val="00AD67C7"/>
    <w:rsid w:val="00AE4219"/>
    <w:rsid w:val="00B176F7"/>
    <w:rsid w:val="00B35EAB"/>
    <w:rsid w:val="00B77D81"/>
    <w:rsid w:val="00BB0C03"/>
    <w:rsid w:val="00BB48CA"/>
    <w:rsid w:val="00BD29C2"/>
    <w:rsid w:val="00C16B21"/>
    <w:rsid w:val="00C546C9"/>
    <w:rsid w:val="00C91856"/>
    <w:rsid w:val="00CA0BFE"/>
    <w:rsid w:val="00CA485B"/>
    <w:rsid w:val="00CD224F"/>
    <w:rsid w:val="00D34F49"/>
    <w:rsid w:val="00D61DAA"/>
    <w:rsid w:val="00D973EB"/>
    <w:rsid w:val="00DA6DE9"/>
    <w:rsid w:val="00DB3792"/>
    <w:rsid w:val="00DC4D6E"/>
    <w:rsid w:val="00E32C36"/>
    <w:rsid w:val="00E41841"/>
    <w:rsid w:val="00E51514"/>
    <w:rsid w:val="00E57DAD"/>
    <w:rsid w:val="00E9044D"/>
    <w:rsid w:val="00EC4E79"/>
    <w:rsid w:val="00ED3E23"/>
    <w:rsid w:val="00EE0E2F"/>
    <w:rsid w:val="00EE7ECE"/>
    <w:rsid w:val="00F00EE0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1B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BFF"/>
    <w:pPr>
      <w:ind w:left="720"/>
      <w:contextualSpacing/>
    </w:pPr>
  </w:style>
  <w:style w:type="character" w:styleId="CommentReference">
    <w:name w:val="annotation reference"/>
    <w:basedOn w:val="DefaultParagraphFont"/>
    <w:rsid w:val="00AE4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219"/>
  </w:style>
  <w:style w:type="paragraph" w:styleId="CommentSubject">
    <w:name w:val="annotation subject"/>
    <w:basedOn w:val="CommentText"/>
    <w:next w:val="CommentText"/>
    <w:link w:val="CommentSubjectChar"/>
    <w:rsid w:val="00AE4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4219"/>
    <w:rPr>
      <w:b/>
      <w:bCs/>
    </w:rPr>
  </w:style>
  <w:style w:type="character" w:styleId="Hyperlink">
    <w:name w:val="Hyperlink"/>
    <w:basedOn w:val="DefaultParagraphFont"/>
    <w:rsid w:val="00775B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C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41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1B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1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BFF"/>
    <w:pPr>
      <w:ind w:left="720"/>
      <w:contextualSpacing/>
    </w:pPr>
  </w:style>
  <w:style w:type="character" w:styleId="CommentReference">
    <w:name w:val="annotation reference"/>
    <w:basedOn w:val="DefaultParagraphFont"/>
    <w:rsid w:val="00AE42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E4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4219"/>
  </w:style>
  <w:style w:type="paragraph" w:styleId="CommentSubject">
    <w:name w:val="annotation subject"/>
    <w:basedOn w:val="CommentText"/>
    <w:next w:val="CommentText"/>
    <w:link w:val="CommentSubjectChar"/>
    <w:rsid w:val="00AE4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4219"/>
    <w:rPr>
      <w:b/>
      <w:bCs/>
    </w:rPr>
  </w:style>
  <w:style w:type="character" w:styleId="Hyperlink">
    <w:name w:val="Hyperlink"/>
    <w:basedOn w:val="DefaultParagraphFont"/>
    <w:rsid w:val="00775B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rmuitine.lt/web/guest/79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0606-85EA-4F51-A163-74CCD4226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4703</Words>
  <Characters>2682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Čenkienė</dc:creator>
  <cp:lastModifiedBy>Zita Čenkienė</cp:lastModifiedBy>
  <cp:revision>6</cp:revision>
  <cp:lastPrinted>2016-08-04T13:07:00Z</cp:lastPrinted>
  <dcterms:created xsi:type="dcterms:W3CDTF">2018-07-19T11:36:00Z</dcterms:created>
  <dcterms:modified xsi:type="dcterms:W3CDTF">2018-07-19T12:35:00Z</dcterms:modified>
</cp:coreProperties>
</file>